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FE" w:rsidRPr="00546BFE" w:rsidRDefault="00546BFE" w:rsidP="00546BFE">
      <w:pPr>
        <w:widowControl/>
        <w:spacing w:after="150"/>
        <w:jc w:val="left"/>
        <w:outlineLvl w:val="1"/>
        <w:rPr>
          <w:rFonts w:ascii="微软雅黑" w:eastAsia="微软雅黑" w:hAnsi="微软雅黑" w:cs="宋体"/>
          <w:color w:val="000000"/>
          <w:kern w:val="0"/>
          <w:sz w:val="36"/>
          <w:szCs w:val="36"/>
        </w:rPr>
      </w:pPr>
      <w:bookmarkStart w:id="0" w:name="_GoBack"/>
      <w:r>
        <w:rPr>
          <w:rFonts w:ascii="微软雅黑" w:eastAsia="微软雅黑" w:hAnsi="微软雅黑" w:cs="宋体" w:hint="eastAsia"/>
          <w:color w:val="000000"/>
          <w:kern w:val="0"/>
          <w:sz w:val="36"/>
          <w:szCs w:val="36"/>
        </w:rPr>
        <w:t>2015</w:t>
      </w:r>
      <w:r w:rsidRPr="00546BFE">
        <w:rPr>
          <w:rFonts w:ascii="微软雅黑" w:eastAsia="微软雅黑" w:hAnsi="微软雅黑" w:cs="宋体" w:hint="eastAsia"/>
          <w:color w:val="000000"/>
          <w:kern w:val="0"/>
          <w:sz w:val="36"/>
          <w:szCs w:val="36"/>
        </w:rPr>
        <w:t>新版《建筑设计服务计费指导》</w:t>
      </w:r>
    </w:p>
    <w:bookmarkEnd w:id="0"/>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微软雅黑" w:eastAsia="微软雅黑" w:hAnsi="微软雅黑" w:cs="宋体" w:hint="eastAsia"/>
          <w:b/>
          <w:bCs/>
          <w:color w:val="FF2941"/>
          <w:kern w:val="0"/>
          <w:sz w:val="24"/>
          <w:szCs w:val="24"/>
        </w:rPr>
        <w:t>第一章 综述</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1、总则</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1.1</w:t>
      </w:r>
      <w:r w:rsidRPr="00546BFE">
        <w:rPr>
          <w:rFonts w:ascii="宋体" w:eastAsia="宋体" w:hAnsi="宋体" w:cs="宋体" w:hint="eastAsia"/>
          <w:color w:val="3E3E3E"/>
          <w:kern w:val="0"/>
          <w:szCs w:val="21"/>
        </w:rPr>
        <w:t xml:space="preserve"> 为了适应市场经济的发展形势与需要，维护建筑设计市场秩序，确保设计质量和服务质量，有助于发包人、设计人协商确定设计服务计费，编制《建筑设计服务计费指导》（以下称《计费指导》）。</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1.2 </w:t>
      </w:r>
      <w:r w:rsidRPr="00546BFE">
        <w:rPr>
          <w:rFonts w:ascii="宋体" w:eastAsia="宋体" w:hAnsi="宋体" w:cs="宋体" w:hint="eastAsia"/>
          <w:color w:val="3E3E3E"/>
          <w:kern w:val="0"/>
          <w:szCs w:val="21"/>
        </w:rPr>
        <w:t>发包人和设计人依法维护市场秩序，保证建筑设计服务计费的公正性、客观性和合理性。</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1.3 </w:t>
      </w:r>
      <w:r w:rsidRPr="00546BFE">
        <w:rPr>
          <w:rFonts w:ascii="宋体" w:eastAsia="宋体" w:hAnsi="宋体" w:cs="宋体" w:hint="eastAsia"/>
          <w:color w:val="3E3E3E"/>
          <w:kern w:val="0"/>
          <w:szCs w:val="21"/>
        </w:rPr>
        <w:t>建筑设计服务计费应当体现优质优价的原则。凡在建筑设计中采用本《计费指导》未涵盖的新技术、新工艺、新设备、新材料或其它科技成果，有利于提高建设项目经济效益或环境效益、社会效益的，经发包人和设计人协商，可以在本《计费指导》基础上适当上浮计费额。</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1.4 </w:t>
      </w:r>
      <w:r w:rsidRPr="00546BFE">
        <w:rPr>
          <w:rFonts w:ascii="宋体" w:eastAsia="宋体" w:hAnsi="宋体" w:cs="宋体" w:hint="eastAsia"/>
          <w:color w:val="3E3E3E"/>
          <w:kern w:val="0"/>
          <w:szCs w:val="21"/>
        </w:rPr>
        <w:t>建筑设计服务费按以下方式支付：</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（1）合同签订后7天内，发包人应向设计人支付设计费总额的20%作为定金；</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（2）提交方案设计文件后7天内，发包人向设计人再支付设计费总额的10%；</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（3）提交初步设计文件后7天内，发包人向设计人再支付设计费总额的20%；</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（4）提交施工图设计文件后7天内，发包人向设计人再支付设计费总额的30%；</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（5）施工图设计文件通过审查后7天内或施工图设计文件提交后3个月内，发包人向设计人再支付设计费总额的10%；</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（6）工程结构封顶后7天内，发包人向设计人再支付设计费总额的5%；</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（7）工程竣工设计验收或投入使用后7天内，发包人向设计人支付全部剩余设计费。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1.5 </w:t>
      </w:r>
      <w:r w:rsidRPr="00546BFE">
        <w:rPr>
          <w:rFonts w:ascii="宋体" w:eastAsia="宋体" w:hAnsi="宋体" w:cs="宋体" w:hint="eastAsia"/>
          <w:color w:val="3E3E3E"/>
          <w:kern w:val="0"/>
          <w:szCs w:val="21"/>
        </w:rPr>
        <w:t>由于发包人原因造成建筑设计工作较大返工、修改和增加工作量的，发包人向设计人另外支付相应的建筑设计服务费并适当延长设计工期。</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1.6 </w:t>
      </w:r>
      <w:r w:rsidRPr="00546BFE">
        <w:rPr>
          <w:rFonts w:ascii="宋体" w:eastAsia="宋体" w:hAnsi="宋体" w:cs="宋体" w:hint="eastAsia"/>
          <w:color w:val="3E3E3E"/>
          <w:kern w:val="0"/>
          <w:szCs w:val="21"/>
        </w:rPr>
        <w:t>由于发包人原因，要求设计人在住房和城乡建设部颁布的《建筑设计周期定额》规定的周期内提前交付设计文件，设计人在确保设计质量与深度的前提下采取措施予以实现时，发包人向设计人支付赶工费。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1.7 </w:t>
      </w:r>
      <w:r w:rsidRPr="00546BFE">
        <w:rPr>
          <w:rFonts w:ascii="宋体" w:eastAsia="宋体" w:hAnsi="宋体" w:cs="宋体" w:hint="eastAsia"/>
          <w:color w:val="3E3E3E"/>
          <w:kern w:val="0"/>
          <w:szCs w:val="21"/>
        </w:rPr>
        <w:t>发包人因非设计</w:t>
      </w:r>
      <w:proofErr w:type="gramStart"/>
      <w:r w:rsidRPr="00546BFE">
        <w:rPr>
          <w:rFonts w:ascii="宋体" w:eastAsia="宋体" w:hAnsi="宋体" w:cs="宋体" w:hint="eastAsia"/>
          <w:color w:val="3E3E3E"/>
          <w:kern w:val="0"/>
          <w:szCs w:val="21"/>
        </w:rPr>
        <w:t>人原因</w:t>
      </w:r>
      <w:proofErr w:type="gramEnd"/>
      <w:r w:rsidRPr="00546BFE">
        <w:rPr>
          <w:rFonts w:ascii="宋体" w:eastAsia="宋体" w:hAnsi="宋体" w:cs="宋体" w:hint="eastAsia"/>
          <w:color w:val="3E3E3E"/>
          <w:kern w:val="0"/>
          <w:szCs w:val="21"/>
        </w:rPr>
        <w:t>要求终止或解除合同，设计人未开始设计工作的，不退还发包人已付的定金或发包人按合同约定向设计人支付违约金；已开始设计工作的，设计人完成工作量不足一半时，发包人向设计人支付设计费总额的50%，超过一半时，支付全部设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lastRenderedPageBreak/>
        <w:t xml:space="preserve">1.8 </w:t>
      </w:r>
      <w:r w:rsidRPr="00546BFE">
        <w:rPr>
          <w:rFonts w:ascii="宋体" w:eastAsia="宋体" w:hAnsi="宋体" w:cs="宋体" w:hint="eastAsia"/>
          <w:color w:val="3E3E3E"/>
          <w:kern w:val="0"/>
          <w:szCs w:val="21"/>
        </w:rPr>
        <w:t>本《计费指导》可作为建设项目编制立项报告、项目建议书、可行性研究报告等文件中估算设计及咨询服务计费额的参考。</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2、建筑设计服务内容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2.1</w:t>
      </w:r>
      <w:r w:rsidRPr="00546BFE">
        <w:rPr>
          <w:rFonts w:ascii="宋体" w:eastAsia="宋体" w:hAnsi="宋体" w:cs="宋体" w:hint="eastAsia"/>
          <w:color w:val="3E3E3E"/>
          <w:kern w:val="0"/>
          <w:szCs w:val="21"/>
        </w:rPr>
        <w:t xml:space="preserve"> 本《计费指导》涉及的建筑设计服务内容包括设计基本服务与设计其他服务。</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2.2 </w:t>
      </w:r>
      <w:r w:rsidRPr="00546BFE">
        <w:rPr>
          <w:rFonts w:ascii="宋体" w:eastAsia="宋体" w:hAnsi="宋体" w:cs="宋体" w:hint="eastAsia"/>
          <w:color w:val="3E3E3E"/>
          <w:kern w:val="0"/>
          <w:szCs w:val="21"/>
        </w:rPr>
        <w:t>“设计基本服务”指设计人根据发包人的委托，按国家法律、技术规范和设计深度要求向发包人提供编制方案设计、初步设计（含初步设计概算）、施工图设计（不含编制工程量清单及施工图预算）文件服务，并相应提供设计技术交底、解决施工中的设计技术问题、参加竣工验收服务。其服务计费为“设计基本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2.3</w:t>
      </w:r>
      <w:r w:rsidRPr="00546BFE">
        <w:rPr>
          <w:rFonts w:ascii="宋体" w:eastAsia="宋体" w:hAnsi="宋体" w:cs="宋体" w:hint="eastAsia"/>
          <w:color w:val="3E3E3E"/>
          <w:kern w:val="0"/>
          <w:szCs w:val="21"/>
        </w:rPr>
        <w:t xml:space="preserve"> “设计其他服务”是指发包人要求设计人另行提供且发包人应当单独支付费用的服务，包括：总体设计、主体设计协调（包括设计总包服务）、采用绿色建筑设计、应用BIM技术、采用被动式节能建筑设计、采用预制装配式建筑设计、编制施工招标技术文件、编制工程量清单、编制施工图预算、建设过程技术顾问咨询、编制竣工图、驻场服务；提供概念性规划方案设计、概念性建筑方案设计、建筑总平面布置或者小区规划方案设计、绿色建筑设计标识评价咨询服务；提供室内装修设计、建筑智能化系统设计、幕墙深化设计、特殊照明设计、钢结构深化设计、金属屋面设计、风景园林景观设计、特殊声学设计、室外工程设计、地（水）源热泵设计等服务。其服务计费为“设计其他服务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3、建筑设计服务计费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3.1 </w:t>
      </w:r>
      <w:r w:rsidRPr="00546BFE">
        <w:rPr>
          <w:rFonts w:ascii="宋体" w:eastAsia="宋体" w:hAnsi="宋体" w:cs="宋体" w:hint="eastAsia"/>
          <w:color w:val="3E3E3E"/>
          <w:kern w:val="0"/>
          <w:szCs w:val="21"/>
        </w:rPr>
        <w:t>设计服务计费是指设计人根据发包人的委托内容和要求，提供设计基本服务与设计其他服务应计取的费用。</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设计服务计费按照下列公式计算：</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设计服务计费=设计基本计费+设计其他服务计费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3.2 </w:t>
      </w:r>
      <w:r w:rsidRPr="00546BFE">
        <w:rPr>
          <w:rFonts w:ascii="宋体" w:eastAsia="宋体" w:hAnsi="宋体" w:cs="宋体" w:hint="eastAsia"/>
          <w:color w:val="3E3E3E"/>
          <w:kern w:val="0"/>
          <w:szCs w:val="21"/>
        </w:rPr>
        <w:t>设计服务可采用以投资费率方式计费，也可在部分项目上以投资费率为参照，采用单位建筑面积方式计费或以工日定额方式计费，具体由发包人与设计人协商确定。</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3.3</w:t>
      </w:r>
      <w:r w:rsidRPr="00546BFE">
        <w:rPr>
          <w:rFonts w:ascii="宋体" w:eastAsia="宋体" w:hAnsi="宋体" w:cs="宋体" w:hint="eastAsia"/>
          <w:color w:val="3E3E3E"/>
          <w:kern w:val="0"/>
          <w:szCs w:val="21"/>
        </w:rPr>
        <w:t xml:space="preserve"> 按投资费率计费方式计费时，设计计费的</w:t>
      </w:r>
      <w:proofErr w:type="gramStart"/>
      <w:r w:rsidRPr="00546BFE">
        <w:rPr>
          <w:rFonts w:ascii="宋体" w:eastAsia="宋体" w:hAnsi="宋体" w:cs="宋体" w:hint="eastAsia"/>
          <w:color w:val="3E3E3E"/>
          <w:kern w:val="0"/>
          <w:szCs w:val="21"/>
        </w:rPr>
        <w:t>“</w:t>
      </w:r>
      <w:proofErr w:type="gramEnd"/>
      <w:r w:rsidRPr="00546BFE">
        <w:rPr>
          <w:rFonts w:ascii="宋体" w:eastAsia="宋体" w:hAnsi="宋体" w:cs="宋体" w:hint="eastAsia"/>
          <w:color w:val="3E3E3E"/>
          <w:kern w:val="0"/>
          <w:szCs w:val="21"/>
        </w:rPr>
        <w:t>计费额</w:t>
      </w:r>
      <w:proofErr w:type="gramStart"/>
      <w:r w:rsidRPr="00546BFE">
        <w:rPr>
          <w:rFonts w:ascii="宋体" w:eastAsia="宋体" w:hAnsi="宋体" w:cs="宋体" w:hint="eastAsia"/>
          <w:color w:val="3E3E3E"/>
          <w:kern w:val="0"/>
          <w:szCs w:val="21"/>
        </w:rPr>
        <w:t>“</w:t>
      </w:r>
      <w:proofErr w:type="gramEnd"/>
      <w:r w:rsidRPr="00546BFE">
        <w:rPr>
          <w:rFonts w:ascii="宋体" w:eastAsia="宋体" w:hAnsi="宋体" w:cs="宋体" w:hint="eastAsia"/>
          <w:color w:val="3E3E3E"/>
          <w:kern w:val="0"/>
          <w:szCs w:val="21"/>
        </w:rPr>
        <w:t>，可先按照批准的项目建议书或可行性研究报告投资估算中建筑安装工程费用计取，无投资估算的参照当地同期同类同规模工程项目的经验建筑安装工程费用计取。按估算“计费额”计取的设计费</w:t>
      </w:r>
      <w:proofErr w:type="gramStart"/>
      <w:r w:rsidRPr="00546BFE">
        <w:rPr>
          <w:rFonts w:ascii="宋体" w:eastAsia="宋体" w:hAnsi="宋体" w:cs="宋体" w:hint="eastAsia"/>
          <w:color w:val="3E3E3E"/>
          <w:kern w:val="0"/>
          <w:szCs w:val="21"/>
        </w:rPr>
        <w:t>为暂估设计</w:t>
      </w:r>
      <w:proofErr w:type="gramEnd"/>
      <w:r w:rsidRPr="00546BFE">
        <w:rPr>
          <w:rFonts w:ascii="宋体" w:eastAsia="宋体" w:hAnsi="宋体" w:cs="宋体" w:hint="eastAsia"/>
          <w:color w:val="3E3E3E"/>
          <w:kern w:val="0"/>
          <w:szCs w:val="21"/>
        </w:rPr>
        <w:t>计费，最终以初步设计概算中的实际“计费额”为依据确定计费。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lastRenderedPageBreak/>
        <w:t>建筑安装工程费用包括人工费、材料费（</w:t>
      </w:r>
      <w:proofErr w:type="gramStart"/>
      <w:r w:rsidRPr="00546BFE">
        <w:rPr>
          <w:rFonts w:ascii="宋体" w:eastAsia="宋体" w:hAnsi="宋体" w:cs="宋体" w:hint="eastAsia"/>
          <w:color w:val="3E3E3E"/>
          <w:kern w:val="0"/>
          <w:szCs w:val="21"/>
        </w:rPr>
        <w:t>含工程</w:t>
      </w:r>
      <w:proofErr w:type="gramEnd"/>
      <w:r w:rsidRPr="00546BFE">
        <w:rPr>
          <w:rFonts w:ascii="宋体" w:eastAsia="宋体" w:hAnsi="宋体" w:cs="宋体" w:hint="eastAsia"/>
          <w:color w:val="3E3E3E"/>
          <w:kern w:val="0"/>
          <w:szCs w:val="21"/>
        </w:rPr>
        <w:t>设备费，即构成或计划构成永久工程部分的机电设备、金属结构设备、仪器装置及其他类似的设备和装置）、施工机具使用费（含仪器仪表使用费）、企业管理费（含检验试验费）、利润、</w:t>
      </w:r>
      <w:proofErr w:type="gramStart"/>
      <w:r w:rsidRPr="00546BFE">
        <w:rPr>
          <w:rFonts w:ascii="宋体" w:eastAsia="宋体" w:hAnsi="宋体" w:cs="宋体" w:hint="eastAsia"/>
          <w:color w:val="3E3E3E"/>
          <w:kern w:val="0"/>
          <w:szCs w:val="21"/>
        </w:rPr>
        <w:t>规</w:t>
      </w:r>
      <w:proofErr w:type="gramEnd"/>
      <w:r w:rsidRPr="00546BFE">
        <w:rPr>
          <w:rFonts w:ascii="宋体" w:eastAsia="宋体" w:hAnsi="宋体" w:cs="宋体" w:hint="eastAsia"/>
          <w:color w:val="3E3E3E"/>
          <w:kern w:val="0"/>
          <w:szCs w:val="21"/>
        </w:rPr>
        <w:t>费和税金。</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3.4</w:t>
      </w:r>
      <w:r w:rsidRPr="00546BFE">
        <w:rPr>
          <w:rFonts w:ascii="宋体" w:eastAsia="宋体" w:hAnsi="宋体" w:cs="宋体" w:hint="eastAsia"/>
          <w:color w:val="3E3E3E"/>
          <w:kern w:val="0"/>
          <w:szCs w:val="21"/>
        </w:rPr>
        <w:t xml:space="preserve"> 建筑单体中采取复用设计的，每个复用单体按照单体设计计费的30%计费；需要重新进行基础设计的，每个复用单体按照单体设计计费的40%计费。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4、其他说明</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4.1</w:t>
      </w:r>
      <w:r w:rsidRPr="00546BFE">
        <w:rPr>
          <w:rFonts w:ascii="宋体" w:eastAsia="宋体" w:hAnsi="宋体" w:cs="宋体" w:hint="eastAsia"/>
          <w:color w:val="3E3E3E"/>
          <w:kern w:val="0"/>
          <w:szCs w:val="21"/>
        </w:rPr>
        <w:t xml:space="preserve"> 建筑工程设计各阶段工作量比例系参照</w:t>
      </w:r>
      <w:proofErr w:type="gramStart"/>
      <w:r w:rsidRPr="00546BFE">
        <w:rPr>
          <w:rFonts w:ascii="宋体" w:eastAsia="宋体" w:hAnsi="宋体" w:cs="宋体" w:hint="eastAsia"/>
          <w:color w:val="3E3E3E"/>
          <w:kern w:val="0"/>
          <w:szCs w:val="21"/>
        </w:rPr>
        <w:t>《</w:t>
      </w:r>
      <w:proofErr w:type="gramEnd"/>
      <w:r w:rsidRPr="00546BFE">
        <w:rPr>
          <w:rFonts w:ascii="宋体" w:eastAsia="宋体" w:hAnsi="宋体" w:cs="宋体" w:hint="eastAsia"/>
          <w:color w:val="3E3E3E"/>
          <w:kern w:val="0"/>
          <w:szCs w:val="21"/>
        </w:rPr>
        <w:t>全国建筑设计劳动（工日）</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定额</w:t>
      </w:r>
      <w:proofErr w:type="gramStart"/>
      <w:r w:rsidRPr="00546BFE">
        <w:rPr>
          <w:rFonts w:ascii="宋体" w:eastAsia="宋体" w:hAnsi="宋体" w:cs="宋体" w:hint="eastAsia"/>
          <w:color w:val="3E3E3E"/>
          <w:kern w:val="0"/>
          <w:szCs w:val="21"/>
        </w:rPr>
        <w:t>》</w:t>
      </w:r>
      <w:proofErr w:type="gramEnd"/>
      <w:r w:rsidRPr="00546BFE">
        <w:rPr>
          <w:rFonts w:ascii="宋体" w:eastAsia="宋体" w:hAnsi="宋体" w:cs="宋体" w:hint="eastAsia"/>
          <w:color w:val="3E3E3E"/>
          <w:kern w:val="0"/>
          <w:szCs w:val="21"/>
        </w:rPr>
        <w:t>（住房和城乡建设部颁发），详见附表</w:t>
      </w:r>
      <w:proofErr w:type="gramStart"/>
      <w:r w:rsidRPr="00546BFE">
        <w:rPr>
          <w:rFonts w:ascii="宋体" w:eastAsia="宋体" w:hAnsi="宋体" w:cs="宋体" w:hint="eastAsia"/>
          <w:color w:val="3E3E3E"/>
          <w:kern w:val="0"/>
          <w:szCs w:val="21"/>
        </w:rPr>
        <w:t>一</w:t>
      </w:r>
      <w:proofErr w:type="gramEnd"/>
      <w:r w:rsidRPr="00546BFE">
        <w:rPr>
          <w:rFonts w:ascii="宋体" w:eastAsia="宋体" w:hAnsi="宋体" w:cs="宋体" w:hint="eastAsia"/>
          <w:color w:val="3E3E3E"/>
          <w:kern w:val="0"/>
          <w:szCs w:val="21"/>
        </w:rPr>
        <w:t>《设计各阶段工作量分配参考比例表》。</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4.2 </w:t>
      </w:r>
      <w:r w:rsidRPr="00546BFE">
        <w:rPr>
          <w:rFonts w:ascii="宋体" w:eastAsia="宋体" w:hAnsi="宋体" w:cs="宋体" w:hint="eastAsia"/>
          <w:color w:val="3E3E3E"/>
          <w:kern w:val="0"/>
          <w:szCs w:val="21"/>
        </w:rPr>
        <w:t>发包人提供境外设计人提交的设计文件，需要设计人按照国家标准规范审核并签署确认意见的，按照实际发生的工作量，由发包人与设计人协商确定增加的审核确认费。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4.3 </w:t>
      </w:r>
      <w:r w:rsidRPr="00546BFE">
        <w:rPr>
          <w:rFonts w:ascii="宋体" w:eastAsia="宋体" w:hAnsi="宋体" w:cs="宋体" w:hint="eastAsia"/>
          <w:color w:val="3E3E3E"/>
          <w:kern w:val="0"/>
          <w:szCs w:val="21"/>
        </w:rPr>
        <w:t>除另有约定外，设计人所编制的设计文件的著作权属于设计人。发包人可因实施工程的运行、调试、维修、改造等目的而复制、使用文件，但不能擅自修改或用于与设计合同无关的其他事项，并不得为合同以外的目的而复制、使用并提供给任何第三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微软雅黑" w:eastAsia="微软雅黑" w:hAnsi="微软雅黑" w:cs="宋体" w:hint="eastAsia"/>
          <w:b/>
          <w:bCs/>
          <w:color w:val="FF2941"/>
          <w:kern w:val="0"/>
          <w:sz w:val="24"/>
          <w:szCs w:val="24"/>
        </w:rPr>
        <w:t>第二章 设计基本服务计费</w:t>
      </w:r>
    </w:p>
    <w:p w:rsid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设计基本服务计费包括投资费率计费方式、单位建筑面积计费方式和工日定额计费等方式，由发包人与设计人协商确定。</w:t>
      </w:r>
      <w:r w:rsidRPr="00546BFE">
        <w:rPr>
          <w:rFonts w:ascii="宋体" w:eastAsia="宋体" w:hAnsi="宋体" w:cs="宋体" w:hint="eastAsia"/>
          <w:color w:val="3E3E3E"/>
          <w:kern w:val="0"/>
          <w:szCs w:val="21"/>
        </w:rPr>
        <w:br/>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1、投资费率计费方式</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1.1</w:t>
      </w:r>
      <w:r w:rsidRPr="00546BFE">
        <w:rPr>
          <w:rFonts w:ascii="宋体" w:eastAsia="宋体" w:hAnsi="宋体" w:cs="宋体" w:hint="eastAsia"/>
          <w:color w:val="3E3E3E"/>
          <w:kern w:val="0"/>
          <w:szCs w:val="21"/>
        </w:rPr>
        <w:t xml:space="preserve"> 投资费率计费采取按照建设项目建筑安装工程费用（</w:t>
      </w:r>
      <w:proofErr w:type="gramStart"/>
      <w:r w:rsidRPr="00546BFE">
        <w:rPr>
          <w:rFonts w:ascii="宋体" w:eastAsia="宋体" w:hAnsi="宋体" w:cs="宋体" w:hint="eastAsia"/>
          <w:color w:val="3E3E3E"/>
          <w:kern w:val="0"/>
          <w:szCs w:val="21"/>
        </w:rPr>
        <w:t>“</w:t>
      </w:r>
      <w:proofErr w:type="gramEnd"/>
      <w:r w:rsidRPr="00546BFE">
        <w:rPr>
          <w:rFonts w:ascii="宋体" w:eastAsia="宋体" w:hAnsi="宋体" w:cs="宋体" w:hint="eastAsia"/>
          <w:color w:val="3E3E3E"/>
          <w:kern w:val="0"/>
          <w:szCs w:val="21"/>
        </w:rPr>
        <w:t>计费额“）分档定额计取。</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 xml:space="preserve">1.2 </w:t>
      </w:r>
      <w:r w:rsidRPr="00546BFE">
        <w:rPr>
          <w:rFonts w:ascii="宋体" w:eastAsia="宋体" w:hAnsi="宋体" w:cs="宋体" w:hint="eastAsia"/>
          <w:color w:val="3E3E3E"/>
          <w:kern w:val="0"/>
          <w:szCs w:val="21"/>
        </w:rPr>
        <w:t>投资费率计费按照下列公式计算：</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设计基本服务计费 =计费基价×工程复杂程度调整系数</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注：计费基价详见附表二《计费基价表》，计费</w:t>
      </w:r>
      <w:proofErr w:type="gramStart"/>
      <w:r w:rsidRPr="00546BFE">
        <w:rPr>
          <w:rFonts w:ascii="宋体" w:eastAsia="宋体" w:hAnsi="宋体" w:cs="宋体" w:hint="eastAsia"/>
          <w:color w:val="3E3E3E"/>
          <w:kern w:val="0"/>
          <w:sz w:val="18"/>
          <w:szCs w:val="18"/>
        </w:rPr>
        <w:t>额处于</w:t>
      </w:r>
      <w:proofErr w:type="gramEnd"/>
      <w:r w:rsidRPr="00546BFE">
        <w:rPr>
          <w:rFonts w:ascii="宋体" w:eastAsia="宋体" w:hAnsi="宋体" w:cs="宋体" w:hint="eastAsia"/>
          <w:color w:val="3E3E3E"/>
          <w:kern w:val="0"/>
          <w:sz w:val="18"/>
          <w:szCs w:val="18"/>
        </w:rPr>
        <w:t>两个数值区间的，采用内插法确定设计计费基价；工程复杂程度调整系数详见附表三《工程复杂程度调整系数表》</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lastRenderedPageBreak/>
        <w:t>2、单位建筑面积计费方式</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部分项目可采用单位建筑面积方式计费，详见附表四《部分项目单位建筑面积计费表》</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 w:val="24"/>
          <w:szCs w:val="24"/>
        </w:rPr>
        <w:t>3、工日定额计费方式</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项目采用工日定额方式计费，按以下公式计算：</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工日定额计费=专家等级相应工日费用×（定额工日÷0.95÷0.85+辅助工日）</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注1：专家等级相应工日费用详见附表五《工程咨询服务工日费用表》</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注2：定额工日、相应系数、辅助工日参见《全国建筑设计劳动（工日）定额》（住房和城乡建设部颁发）</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微软雅黑" w:eastAsia="微软雅黑" w:hAnsi="微软雅黑" w:cs="宋体" w:hint="eastAsia"/>
          <w:b/>
          <w:bCs/>
          <w:color w:val="FF2941"/>
          <w:kern w:val="0"/>
          <w:sz w:val="24"/>
          <w:szCs w:val="24"/>
        </w:rPr>
        <w:t>第三章 设计其他服务计费</w:t>
      </w:r>
    </w:p>
    <w:p w:rsidR="00546BFE" w:rsidRPr="00546BFE" w:rsidRDefault="00546BFE" w:rsidP="00546BFE">
      <w:pPr>
        <w:widowControl/>
        <w:spacing w:line="360"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设计其他服务包括的内容见第一章2.3条款所述，其计费详见附表六《设计其他服务计费表（Ⅰ）》、</w:t>
      </w:r>
      <w:proofErr w:type="gramStart"/>
      <w:r w:rsidRPr="00546BFE">
        <w:rPr>
          <w:rFonts w:ascii="宋体" w:eastAsia="宋体" w:hAnsi="宋体" w:cs="宋体" w:hint="eastAsia"/>
          <w:color w:val="3E3E3E"/>
          <w:kern w:val="0"/>
          <w:szCs w:val="21"/>
        </w:rPr>
        <w:t>附表七</w:t>
      </w:r>
      <w:proofErr w:type="gramEnd"/>
      <w:r w:rsidRPr="00546BFE">
        <w:rPr>
          <w:rFonts w:ascii="宋体" w:eastAsia="宋体" w:hAnsi="宋体" w:cs="宋体" w:hint="eastAsia"/>
          <w:color w:val="3E3E3E"/>
          <w:kern w:val="0"/>
          <w:szCs w:val="21"/>
        </w:rPr>
        <w:t>《设计其他服务计费表（Ⅱ）》及附表八《设计其他服务计费表（Ⅲ）》。第一章2.3条款未涉及的设计其他服务内容的计费可比照附表六、七、八执行。</w:t>
      </w:r>
    </w:p>
    <w:p w:rsidR="00546BFE" w:rsidRDefault="00546BFE" w:rsidP="00546BFE">
      <w:pPr>
        <w:widowControl/>
        <w:spacing w:line="349" w:lineRule="atLeast"/>
        <w:jc w:val="left"/>
        <w:rPr>
          <w:rFonts w:ascii="微软雅黑" w:eastAsia="微软雅黑" w:hAnsi="微软雅黑" w:cs="宋体" w:hint="eastAsia"/>
          <w:b/>
          <w:bCs/>
          <w:color w:val="FF2941"/>
          <w:kern w:val="0"/>
          <w:sz w:val="24"/>
          <w:szCs w:val="24"/>
        </w:rPr>
      </w:pPr>
    </w:p>
    <w:p w:rsidR="00546BFE" w:rsidRDefault="00546BFE" w:rsidP="00546BFE">
      <w:pPr>
        <w:widowControl/>
        <w:spacing w:line="349" w:lineRule="atLeast"/>
        <w:jc w:val="left"/>
        <w:rPr>
          <w:rFonts w:ascii="微软雅黑" w:eastAsia="微软雅黑" w:hAnsi="微软雅黑" w:cs="宋体" w:hint="eastAsia"/>
          <w:b/>
          <w:bCs/>
          <w:color w:val="FF2941"/>
          <w:kern w:val="0"/>
          <w:sz w:val="24"/>
          <w:szCs w:val="24"/>
        </w:rPr>
      </w:pPr>
    </w:p>
    <w:p w:rsidR="00546BFE" w:rsidRDefault="00546BFE" w:rsidP="00546BFE">
      <w:pPr>
        <w:widowControl/>
        <w:spacing w:line="349" w:lineRule="atLeast"/>
        <w:jc w:val="left"/>
        <w:rPr>
          <w:rFonts w:ascii="微软雅黑" w:eastAsia="微软雅黑" w:hAnsi="微软雅黑" w:cs="宋体" w:hint="eastAsia"/>
          <w:b/>
          <w:bCs/>
          <w:color w:val="FF2941"/>
          <w:kern w:val="0"/>
          <w:sz w:val="24"/>
          <w:szCs w:val="24"/>
        </w:rPr>
      </w:pPr>
    </w:p>
    <w:p w:rsidR="00546BFE" w:rsidRDefault="00546BFE" w:rsidP="00546BFE">
      <w:pPr>
        <w:widowControl/>
        <w:spacing w:line="349" w:lineRule="atLeast"/>
        <w:jc w:val="left"/>
        <w:rPr>
          <w:rFonts w:ascii="微软雅黑" w:eastAsia="微软雅黑" w:hAnsi="微软雅黑" w:cs="宋体" w:hint="eastAsia"/>
          <w:b/>
          <w:bCs/>
          <w:color w:val="FF2941"/>
          <w:kern w:val="0"/>
          <w:sz w:val="24"/>
          <w:szCs w:val="24"/>
        </w:rPr>
      </w:pPr>
    </w:p>
    <w:p w:rsidR="00546BFE" w:rsidRDefault="00546BFE" w:rsidP="00546BFE">
      <w:pPr>
        <w:widowControl/>
        <w:spacing w:line="349" w:lineRule="atLeast"/>
        <w:jc w:val="left"/>
        <w:rPr>
          <w:rFonts w:ascii="微软雅黑" w:eastAsia="微软雅黑" w:hAnsi="微软雅黑" w:cs="宋体" w:hint="eastAsia"/>
          <w:b/>
          <w:bCs/>
          <w:color w:val="FF2941"/>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微软雅黑" w:eastAsia="微软雅黑" w:hAnsi="微软雅黑" w:cs="宋体" w:hint="eastAsia"/>
          <w:b/>
          <w:bCs/>
          <w:color w:val="FF2941"/>
          <w:kern w:val="0"/>
          <w:sz w:val="24"/>
          <w:szCs w:val="24"/>
        </w:rPr>
        <w:lastRenderedPageBreak/>
        <w:t>第四章 附 表</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w:t>
      </w:r>
      <w:proofErr w:type="gramStart"/>
      <w:r w:rsidRPr="00546BFE">
        <w:rPr>
          <w:rFonts w:ascii="宋体" w:eastAsia="宋体" w:hAnsi="宋体" w:cs="宋体" w:hint="eastAsia"/>
          <w:b/>
          <w:bCs/>
          <w:color w:val="3E3E3E"/>
          <w:kern w:val="0"/>
          <w:szCs w:val="21"/>
        </w:rPr>
        <w:t>一</w:t>
      </w:r>
      <w:proofErr w:type="gramEnd"/>
      <w:r w:rsidRPr="00546BFE">
        <w:rPr>
          <w:rFonts w:ascii="宋体" w:eastAsia="宋体" w:hAnsi="宋体" w:cs="宋体" w:hint="eastAsia"/>
          <w:b/>
          <w:bCs/>
          <w:color w:val="3E3E3E"/>
          <w:kern w:val="0"/>
          <w:szCs w:val="21"/>
        </w:rPr>
        <w:t>：设计各阶段工作量分配参考比例表（%）</w:t>
      </w:r>
    </w:p>
    <w:tbl>
      <w:tblPr>
        <w:tblW w:w="7193" w:type="dxa"/>
        <w:tblCellMar>
          <w:left w:w="0" w:type="dxa"/>
          <w:right w:w="0" w:type="dxa"/>
        </w:tblCellMar>
        <w:tblLook w:val="04A0" w:firstRow="1" w:lastRow="0" w:firstColumn="1" w:lastColumn="0" w:noHBand="0" w:noVBand="1"/>
      </w:tblPr>
      <w:tblGrid>
        <w:gridCol w:w="1948"/>
        <w:gridCol w:w="1418"/>
        <w:gridCol w:w="1275"/>
        <w:gridCol w:w="1134"/>
        <w:gridCol w:w="1418"/>
      </w:tblGrid>
      <w:tr w:rsidR="00546BFE" w:rsidRPr="00546BFE" w:rsidTr="00546BFE">
        <w:trPr>
          <w:trHeight w:val="995"/>
        </w:trPr>
        <w:tc>
          <w:tcPr>
            <w:tcW w:w="194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275A58CE" wp14:editId="500DAF8D">
                  <wp:extent cx="866775" cy="866775"/>
                  <wp:effectExtent l="0" t="0" r="0" b="0"/>
                  <wp:docPr id="2" name="图片 2" descr="http://res.wx.qq.com/mpres/htmledition/ueditor/themes/default/images/spacer.gif?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wx.qq.com/mpres/htmledition/ueditor/themes/default/images/spacer.gif?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41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简 单</w:t>
            </w:r>
          </w:p>
        </w:tc>
        <w:tc>
          <w:tcPr>
            <w:tcW w:w="12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roofErr w:type="gramStart"/>
            <w:r w:rsidRPr="00546BFE">
              <w:rPr>
                <w:rFonts w:ascii="宋体" w:eastAsia="宋体" w:hAnsi="宋体" w:cs="宋体" w:hint="eastAsia"/>
                <w:kern w:val="0"/>
                <w:szCs w:val="21"/>
              </w:rPr>
              <w:t>一</w:t>
            </w:r>
            <w:proofErr w:type="gramEnd"/>
            <w:r w:rsidRPr="00546BFE">
              <w:rPr>
                <w:rFonts w:ascii="宋体" w:eastAsia="宋体" w:hAnsi="宋体" w:cs="宋体" w:hint="eastAsia"/>
                <w:kern w:val="0"/>
                <w:szCs w:val="21"/>
              </w:rPr>
              <w:t xml:space="preserve"> 般</w:t>
            </w:r>
          </w:p>
        </w:tc>
        <w:tc>
          <w:tcPr>
            <w:tcW w:w="113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复 杂</w:t>
            </w:r>
          </w:p>
        </w:tc>
        <w:tc>
          <w:tcPr>
            <w:tcW w:w="141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特别复杂</w:t>
            </w:r>
          </w:p>
        </w:tc>
      </w:tr>
      <w:tr w:rsidR="00546BFE" w:rsidRPr="00546BFE" w:rsidTr="00546BFE">
        <w:trPr>
          <w:trHeight w:val="407"/>
        </w:trPr>
        <w:tc>
          <w:tcPr>
            <w:tcW w:w="194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方案阶段</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15</w:t>
            </w:r>
          </w:p>
        </w:tc>
        <w:tc>
          <w:tcPr>
            <w:tcW w:w="1275"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w:t>
            </w:r>
          </w:p>
        </w:tc>
        <w:tc>
          <w:tcPr>
            <w:tcW w:w="1134"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25</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25</w:t>
            </w:r>
          </w:p>
        </w:tc>
      </w:tr>
      <w:tr w:rsidR="00546BFE" w:rsidRPr="00546BFE" w:rsidTr="00546BFE">
        <w:trPr>
          <w:trHeight w:val="414"/>
        </w:trPr>
        <w:tc>
          <w:tcPr>
            <w:tcW w:w="194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初步设计阶段</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18.2</w:t>
            </w:r>
          </w:p>
        </w:tc>
        <w:tc>
          <w:tcPr>
            <w:tcW w:w="1275"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19.9</w:t>
            </w:r>
          </w:p>
        </w:tc>
        <w:tc>
          <w:tcPr>
            <w:tcW w:w="1134"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20.4</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21.7</w:t>
            </w:r>
          </w:p>
        </w:tc>
      </w:tr>
      <w:tr w:rsidR="00546BFE" w:rsidRPr="00546BFE" w:rsidTr="00546BFE">
        <w:trPr>
          <w:trHeight w:val="263"/>
        </w:trPr>
        <w:tc>
          <w:tcPr>
            <w:tcW w:w="194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施工图设计阶段</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59.3</w:t>
            </w:r>
          </w:p>
        </w:tc>
        <w:tc>
          <w:tcPr>
            <w:tcW w:w="1275"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52.4</w:t>
            </w:r>
          </w:p>
        </w:tc>
        <w:tc>
          <w:tcPr>
            <w:tcW w:w="1134"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46.9</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45.1</w:t>
            </w:r>
          </w:p>
        </w:tc>
      </w:tr>
      <w:tr w:rsidR="00546BFE" w:rsidRPr="00546BFE" w:rsidTr="00546BFE">
        <w:trPr>
          <w:trHeight w:val="381"/>
        </w:trPr>
        <w:tc>
          <w:tcPr>
            <w:tcW w:w="194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施工配合阶段</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7.5</w:t>
            </w:r>
          </w:p>
        </w:tc>
        <w:tc>
          <w:tcPr>
            <w:tcW w:w="1275"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7.7</w:t>
            </w:r>
          </w:p>
        </w:tc>
        <w:tc>
          <w:tcPr>
            <w:tcW w:w="1134"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7.7</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8.2</w:t>
            </w:r>
          </w:p>
        </w:tc>
      </w:tr>
      <w:tr w:rsidR="00546BFE" w:rsidRPr="00546BFE" w:rsidTr="00546BFE">
        <w:trPr>
          <w:trHeight w:val="260"/>
        </w:trPr>
        <w:tc>
          <w:tcPr>
            <w:tcW w:w="194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合计</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w:t>
            </w:r>
          </w:p>
        </w:tc>
        <w:tc>
          <w:tcPr>
            <w:tcW w:w="1275"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w:t>
            </w:r>
          </w:p>
        </w:tc>
        <w:tc>
          <w:tcPr>
            <w:tcW w:w="1134"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w:t>
            </w:r>
          </w:p>
        </w:tc>
        <w:tc>
          <w:tcPr>
            <w:tcW w:w="1418" w:type="dxa"/>
            <w:tcBorders>
              <w:top w:val="nil"/>
              <w:left w:val="nil"/>
              <w:bottom w:val="single" w:sz="6" w:space="0" w:color="auto"/>
              <w:right w:val="single" w:sz="6" w:space="0" w:color="auto"/>
            </w:tcBorders>
            <w:tcMar>
              <w:top w:w="0" w:type="dxa"/>
              <w:left w:w="105" w:type="dxa"/>
              <w:bottom w:w="0" w:type="dxa"/>
              <w:right w:w="105" w:type="dxa"/>
            </w:tcMa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附表二：计费基价表</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单位：万元</w:t>
      </w:r>
    </w:p>
    <w:tbl>
      <w:tblPr>
        <w:tblW w:w="4641" w:type="dxa"/>
        <w:tblCellMar>
          <w:left w:w="0" w:type="dxa"/>
          <w:right w:w="0" w:type="dxa"/>
        </w:tblCellMar>
        <w:tblLook w:val="04A0" w:firstRow="1" w:lastRow="0" w:firstColumn="1" w:lastColumn="0" w:noHBand="0" w:noVBand="1"/>
      </w:tblPr>
      <w:tblGrid>
        <w:gridCol w:w="1239"/>
        <w:gridCol w:w="1418"/>
        <w:gridCol w:w="1984"/>
      </w:tblGrid>
      <w:tr w:rsidR="00546BFE" w:rsidRPr="00546BFE" w:rsidTr="00546BFE">
        <w:tc>
          <w:tcPr>
            <w:tcW w:w="123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序号</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w:t>
            </w:r>
          </w:p>
        </w:tc>
        <w:tc>
          <w:tcPr>
            <w:tcW w:w="198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计费基价</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9.0</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20.9</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38.8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103.8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163.9</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249.6</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7</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304.8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566.8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9</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1054.0</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1515.2</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11</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1960.1</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12</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2393.4</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13</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4450.8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14</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8276.7</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15</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11897.5</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16</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15391.4</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17</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18793.8</w:t>
            </w:r>
          </w:p>
        </w:tc>
      </w:tr>
      <w:tr w:rsidR="00546BFE" w:rsidRPr="00546BFE" w:rsidTr="00546BFE">
        <w:tc>
          <w:tcPr>
            <w:tcW w:w="123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18</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2000000</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34948.9</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注：计费额&gt;2000000万元的，以计费额乘以1.6%的计费率计算计费基价。</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附表三 工程复杂程度调整系数表</w:t>
      </w:r>
    </w:p>
    <w:tbl>
      <w:tblPr>
        <w:tblW w:w="10453" w:type="dxa"/>
        <w:tblCellMar>
          <w:left w:w="0" w:type="dxa"/>
          <w:right w:w="0" w:type="dxa"/>
        </w:tblCellMar>
        <w:tblLook w:val="04A0" w:firstRow="1" w:lastRow="0" w:firstColumn="1" w:lastColumn="0" w:noHBand="0" w:noVBand="1"/>
      </w:tblPr>
      <w:tblGrid>
        <w:gridCol w:w="692"/>
        <w:gridCol w:w="8485"/>
        <w:gridCol w:w="1276"/>
      </w:tblGrid>
      <w:tr w:rsidR="00546BFE" w:rsidRPr="00546BFE" w:rsidTr="00546BFE">
        <w:trPr>
          <w:trHeight w:val="1064"/>
        </w:trPr>
        <w:tc>
          <w:tcPr>
            <w:tcW w:w="6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复杂程度</w:t>
            </w:r>
          </w:p>
        </w:tc>
        <w:tc>
          <w:tcPr>
            <w:tcW w:w="84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工程设计条件</w:t>
            </w:r>
          </w:p>
        </w:tc>
        <w:tc>
          <w:tcPr>
            <w:tcW w:w="127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调整系数调</w:t>
            </w:r>
          </w:p>
        </w:tc>
      </w:tr>
      <w:tr w:rsidR="00546BFE" w:rsidRPr="00546BFE" w:rsidTr="00546BFE">
        <w:tc>
          <w:tcPr>
            <w:tcW w:w="6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简单</w:t>
            </w:r>
          </w:p>
        </w:tc>
        <w:tc>
          <w:tcPr>
            <w:tcW w:w="84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 单体建筑面积小于5000平方米（含）的小型公共建筑工程；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 建筑高度小于24米（含）的公共建筑工程；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 单体建筑面积小于5000平方米（含）的小型仓储物流类建筑工程。</w:t>
            </w:r>
          </w:p>
        </w:tc>
        <w:tc>
          <w:tcPr>
            <w:tcW w:w="12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0.85</w:t>
            </w:r>
          </w:p>
        </w:tc>
      </w:tr>
      <w:tr w:rsidR="00546BFE" w:rsidRPr="00546BFE" w:rsidTr="00546BFE">
        <w:tc>
          <w:tcPr>
            <w:tcW w:w="6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一般</w:t>
            </w:r>
          </w:p>
        </w:tc>
        <w:tc>
          <w:tcPr>
            <w:tcW w:w="84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 单体建筑面积大于5000平方米, 且小于20000平方米（含）的中型公共建筑工程；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 建筑高度小于27米（含）的一般标准居住建筑工程；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 建筑高度大于24米,且小于50米（含）的公共建筑工程；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 单体建筑面积大于5000平方米的大中型仓储物流类建筑工程；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 建筑面积小于10000平方米（含）的单建地下工程。</w:t>
            </w:r>
          </w:p>
        </w:tc>
        <w:tc>
          <w:tcPr>
            <w:tcW w:w="12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w:t>
            </w:r>
          </w:p>
        </w:tc>
      </w:tr>
      <w:tr w:rsidR="00546BFE" w:rsidRPr="00546BFE" w:rsidTr="00546BFE">
        <w:tc>
          <w:tcPr>
            <w:tcW w:w="692"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复杂</w:t>
            </w:r>
          </w:p>
        </w:tc>
        <w:tc>
          <w:tcPr>
            <w:tcW w:w="84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 功能和技术要求复杂的中小型公共建筑工程；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 建筑高度大于27米、小于100米的居住建筑工程，或27米以下高标准的居住建筑工程；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 单体建筑面积大于20000平方米的大型公共建筑工程；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 建筑高度大于50米，小于100米的公共建筑工程；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 建筑面积大于10000平方米, 且小于50000平方米（含）的单建筑建地下工程。</w:t>
            </w:r>
          </w:p>
        </w:tc>
        <w:tc>
          <w:tcPr>
            <w:tcW w:w="12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1.15</w:t>
            </w:r>
          </w:p>
        </w:tc>
      </w:tr>
      <w:tr w:rsidR="00546BFE" w:rsidRPr="00546BFE" w:rsidTr="00546BFE">
        <w:trPr>
          <w:trHeight w:val="4305"/>
        </w:trPr>
        <w:tc>
          <w:tcPr>
            <w:tcW w:w="692"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特别复杂</w:t>
            </w:r>
          </w:p>
        </w:tc>
        <w:tc>
          <w:tcPr>
            <w:tcW w:w="848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 功能和技术要求特别复杂的公共建筑工程；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 建筑高度大于100米（含）的居住或公共建筑工程；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 单体建筑面积大于80000平方米的超大型公共建筑工程；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 建筑面积大于50000平方米的单建地下工程；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 工艺复杂或1000床以上的医疗建筑工程；1600座以上剧院或包含两个及以上不同类型观演厅的综合文化建筑工程；5万平方米以上会议中心、航站楼、客运站；6000座以上体育馆；30000座以上体育场；超过五星级标准的酒店或度假村等公共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 抗震设防有特殊要求的建筑工程（隔震垫、阻尼器、消能装置等）；结构超限的建筑工程；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 仿古建筑、宗教建筑、古建筑和保护性建筑工程；</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 适用于国际性活动的大型公共建筑工程；</w:t>
            </w:r>
          </w:p>
        </w:tc>
        <w:tc>
          <w:tcPr>
            <w:tcW w:w="1276"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1.3</w:t>
            </w:r>
          </w:p>
        </w:tc>
      </w:tr>
      <w:tr w:rsidR="00546BFE" w:rsidRPr="00546BFE" w:rsidTr="00546BFE">
        <w:trPr>
          <w:trHeight w:val="360"/>
        </w:trPr>
        <w:tc>
          <w:tcPr>
            <w:tcW w:w="0" w:type="auto"/>
            <w:vMerge/>
            <w:tcBorders>
              <w:top w:val="nil"/>
              <w:left w:val="single" w:sz="6" w:space="0" w:color="000000"/>
              <w:bottom w:val="single" w:sz="6" w:space="0" w:color="000000"/>
              <w:right w:val="single" w:sz="6" w:space="0" w:color="000000"/>
            </w:tcBorders>
            <w:vAlign w:val="center"/>
            <w:hideMark/>
          </w:tcPr>
          <w:p w:rsidR="00546BFE" w:rsidRPr="00546BFE" w:rsidRDefault="00546BFE" w:rsidP="00546BFE">
            <w:pPr>
              <w:widowControl/>
              <w:jc w:val="left"/>
              <w:rPr>
                <w:rFonts w:ascii="宋体" w:eastAsia="宋体" w:hAnsi="宋体" w:cs="宋体"/>
                <w:kern w:val="0"/>
                <w:sz w:val="24"/>
                <w:szCs w:val="24"/>
              </w:rPr>
            </w:pPr>
          </w:p>
        </w:tc>
        <w:tc>
          <w:tcPr>
            <w:tcW w:w="84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9、 改扩建和技术改造（</w:t>
            </w:r>
            <w:proofErr w:type="gramStart"/>
            <w:r w:rsidRPr="00546BFE">
              <w:rPr>
                <w:rFonts w:ascii="宋体" w:eastAsia="宋体" w:hAnsi="宋体" w:cs="宋体" w:hint="eastAsia"/>
                <w:kern w:val="0"/>
                <w:szCs w:val="21"/>
              </w:rPr>
              <w:t>含结构</w:t>
            </w:r>
            <w:proofErr w:type="gramEnd"/>
            <w:r w:rsidRPr="00546BFE">
              <w:rPr>
                <w:rFonts w:ascii="宋体" w:eastAsia="宋体" w:hAnsi="宋体" w:cs="宋体" w:hint="eastAsia"/>
                <w:kern w:val="0"/>
                <w:szCs w:val="21"/>
              </w:rPr>
              <w:t>加固）建筑工程。</w:t>
            </w:r>
          </w:p>
        </w:tc>
        <w:tc>
          <w:tcPr>
            <w:tcW w:w="1276"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1.3 ~1.8</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注1：1上述设计均不包含相应的工艺设计内容。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注2：改扩建和技术改造（</w:t>
      </w:r>
      <w:proofErr w:type="gramStart"/>
      <w:r w:rsidRPr="00546BFE">
        <w:rPr>
          <w:rFonts w:ascii="宋体" w:eastAsia="宋体" w:hAnsi="宋体" w:cs="宋体" w:hint="eastAsia"/>
          <w:color w:val="3E3E3E"/>
          <w:kern w:val="0"/>
          <w:sz w:val="18"/>
          <w:szCs w:val="18"/>
        </w:rPr>
        <w:t>含结构</w:t>
      </w:r>
      <w:proofErr w:type="gramEnd"/>
      <w:r w:rsidRPr="00546BFE">
        <w:rPr>
          <w:rFonts w:ascii="宋体" w:eastAsia="宋体" w:hAnsi="宋体" w:cs="宋体" w:hint="eastAsia"/>
          <w:color w:val="3E3E3E"/>
          <w:kern w:val="0"/>
          <w:sz w:val="18"/>
          <w:szCs w:val="18"/>
        </w:rPr>
        <w:t>加固）项目以其投资额为基本设计“计费额”。</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附表四 部分项目单位建筑面积计费表</w:t>
      </w:r>
    </w:p>
    <w:tbl>
      <w:tblPr>
        <w:tblW w:w="10311" w:type="dxa"/>
        <w:tblCellMar>
          <w:left w:w="0" w:type="dxa"/>
          <w:right w:w="0" w:type="dxa"/>
        </w:tblCellMar>
        <w:tblLook w:val="04A0" w:firstRow="1" w:lastRow="0" w:firstColumn="1" w:lastColumn="0" w:noHBand="0" w:noVBand="1"/>
      </w:tblPr>
      <w:tblGrid>
        <w:gridCol w:w="1806"/>
        <w:gridCol w:w="2694"/>
        <w:gridCol w:w="1842"/>
        <w:gridCol w:w="2268"/>
        <w:gridCol w:w="1701"/>
      </w:tblGrid>
      <w:tr w:rsidR="00546BFE" w:rsidRPr="00546BFE" w:rsidTr="00546BFE">
        <w:trPr>
          <w:trHeight w:val="510"/>
        </w:trPr>
        <w:tc>
          <w:tcPr>
            <w:tcW w:w="180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项目类别</w:t>
            </w:r>
          </w:p>
        </w:tc>
        <w:tc>
          <w:tcPr>
            <w:tcW w:w="269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6层及以下</w:t>
            </w:r>
          </w:p>
        </w:tc>
        <w:tc>
          <w:tcPr>
            <w:tcW w:w="184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7~18层</w:t>
            </w:r>
          </w:p>
        </w:tc>
        <w:tc>
          <w:tcPr>
            <w:tcW w:w="22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19层~100米</w:t>
            </w:r>
          </w:p>
        </w:tc>
        <w:tc>
          <w:tcPr>
            <w:tcW w:w="170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100米以上</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居住类建筑</w:t>
            </w:r>
            <w:r w:rsidRPr="00546BFE">
              <w:rPr>
                <w:rFonts w:ascii="宋体" w:eastAsia="宋体" w:hAnsi="宋体" w:cs="宋体" w:hint="eastAsia"/>
                <w:kern w:val="0"/>
                <w:szCs w:val="21"/>
              </w:rPr>
              <w:br/>
            </w:r>
          </w:p>
        </w:tc>
        <w:tc>
          <w:tcPr>
            <w:tcW w:w="269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20~30</w:t>
            </w:r>
          </w:p>
        </w:tc>
        <w:tc>
          <w:tcPr>
            <w:tcW w:w="184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30~40</w:t>
            </w:r>
          </w:p>
        </w:tc>
        <w:tc>
          <w:tcPr>
            <w:tcW w:w="22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40~80</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80~130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居住类建筑</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（别墅）</w:t>
            </w:r>
          </w:p>
        </w:tc>
        <w:tc>
          <w:tcPr>
            <w:tcW w:w="85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30万元~50万元/套</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居住类建筑</w:t>
            </w:r>
            <w:r w:rsidRPr="00546BFE">
              <w:rPr>
                <w:rFonts w:ascii="宋体" w:eastAsia="宋体" w:hAnsi="宋体" w:cs="宋体" w:hint="eastAsia"/>
                <w:kern w:val="0"/>
                <w:szCs w:val="21"/>
              </w:rPr>
              <w:br/>
              <w:t>（酒店式公寓）</w:t>
            </w:r>
          </w:p>
        </w:tc>
        <w:tc>
          <w:tcPr>
            <w:tcW w:w="85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40~130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酒店建筑</w:t>
            </w:r>
          </w:p>
        </w:tc>
        <w:tc>
          <w:tcPr>
            <w:tcW w:w="269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80~100</w:t>
            </w:r>
          </w:p>
        </w:tc>
        <w:tc>
          <w:tcPr>
            <w:tcW w:w="411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100~150</w:t>
            </w:r>
          </w:p>
        </w:tc>
        <w:tc>
          <w:tcPr>
            <w:tcW w:w="170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120~250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办公建筑</w:t>
            </w:r>
          </w:p>
        </w:tc>
        <w:tc>
          <w:tcPr>
            <w:tcW w:w="269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50~70</w:t>
            </w:r>
          </w:p>
        </w:tc>
        <w:tc>
          <w:tcPr>
            <w:tcW w:w="41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80~120</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100~220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商业建筑</w:t>
            </w:r>
          </w:p>
        </w:tc>
        <w:tc>
          <w:tcPr>
            <w:tcW w:w="269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50~70</w:t>
            </w:r>
          </w:p>
        </w:tc>
        <w:tc>
          <w:tcPr>
            <w:tcW w:w="41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80~120</w:t>
            </w:r>
          </w:p>
        </w:tc>
        <w:tc>
          <w:tcPr>
            <w:tcW w:w="170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城市综合体</w:t>
            </w:r>
          </w:p>
        </w:tc>
        <w:tc>
          <w:tcPr>
            <w:tcW w:w="85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80~220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旅游建筑</w:t>
            </w:r>
          </w:p>
        </w:tc>
        <w:tc>
          <w:tcPr>
            <w:tcW w:w="85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110~130</w:t>
            </w:r>
          </w:p>
        </w:tc>
      </w:tr>
      <w:tr w:rsidR="00546BFE" w:rsidRPr="00546BFE" w:rsidTr="00546BFE">
        <w:trPr>
          <w:trHeight w:val="510"/>
        </w:trPr>
        <w:tc>
          <w:tcPr>
            <w:tcW w:w="1806"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教育建筑</w:t>
            </w:r>
          </w:p>
        </w:tc>
        <w:tc>
          <w:tcPr>
            <w:tcW w:w="85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50~100</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附表五 工程咨询服务工日费用表</w:t>
      </w:r>
    </w:p>
    <w:tbl>
      <w:tblPr>
        <w:tblW w:w="10311" w:type="dxa"/>
        <w:tblCellMar>
          <w:left w:w="0" w:type="dxa"/>
          <w:right w:w="0" w:type="dxa"/>
        </w:tblCellMar>
        <w:tblLook w:val="04A0" w:firstRow="1" w:lastRow="0" w:firstColumn="1" w:lastColumn="0" w:noHBand="0" w:noVBand="1"/>
      </w:tblPr>
      <w:tblGrid>
        <w:gridCol w:w="3507"/>
        <w:gridCol w:w="6804"/>
      </w:tblGrid>
      <w:tr w:rsidR="00546BFE" w:rsidRPr="00546BFE" w:rsidTr="00546BFE">
        <w:trPr>
          <w:trHeight w:val="450"/>
        </w:trPr>
        <w:tc>
          <w:tcPr>
            <w:tcW w:w="350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专家等级</w:t>
            </w:r>
          </w:p>
        </w:tc>
        <w:tc>
          <w:tcPr>
            <w:tcW w:w="680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工日费用（元/天）</w:t>
            </w:r>
          </w:p>
        </w:tc>
      </w:tr>
      <w:tr w:rsidR="00546BFE" w:rsidRPr="00546BFE" w:rsidTr="00546BFE">
        <w:trPr>
          <w:trHeight w:val="46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中国科学院、工程院院士</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40000</w:t>
            </w:r>
          </w:p>
        </w:tc>
      </w:tr>
      <w:tr w:rsidR="00546BFE" w:rsidRPr="00546BFE" w:rsidTr="00546BFE">
        <w:trPr>
          <w:trHeight w:val="49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全国勘察设计大师</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20000</w:t>
            </w:r>
          </w:p>
        </w:tc>
      </w:tr>
      <w:tr w:rsidR="00546BFE" w:rsidRPr="00546BFE" w:rsidTr="00546BFE">
        <w:trPr>
          <w:trHeight w:val="43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享受国务院津贴专家（地方勘察设计大师）</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10000</w:t>
            </w:r>
          </w:p>
        </w:tc>
      </w:tr>
      <w:tr w:rsidR="00546BFE" w:rsidRPr="00546BFE" w:rsidTr="00546BFE">
        <w:trPr>
          <w:trHeight w:val="67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教授级高级工程（建筑）师</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研究员</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7500</w:t>
            </w:r>
          </w:p>
        </w:tc>
      </w:tr>
      <w:tr w:rsidR="00546BFE" w:rsidRPr="00546BFE" w:rsidTr="00546BFE">
        <w:trPr>
          <w:trHeight w:val="43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高级工程（建筑）师</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5000</w:t>
            </w:r>
          </w:p>
        </w:tc>
      </w:tr>
      <w:tr w:rsidR="00546BFE" w:rsidRPr="00546BFE" w:rsidTr="00546BFE">
        <w:trPr>
          <w:trHeight w:val="405"/>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工程（建筑）师</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3000</w:t>
            </w:r>
          </w:p>
        </w:tc>
      </w:tr>
      <w:tr w:rsidR="00546BFE" w:rsidRPr="00546BFE" w:rsidTr="00546BFE">
        <w:trPr>
          <w:trHeight w:val="420"/>
        </w:trPr>
        <w:tc>
          <w:tcPr>
            <w:tcW w:w="3507"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其他技术人员</w:t>
            </w:r>
          </w:p>
        </w:tc>
        <w:tc>
          <w:tcPr>
            <w:tcW w:w="680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2000</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注：不足半天，按照半天计费，超过半天，按照全天计费。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附表六 设计其他服务计费表 （Ⅰ）</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（以设计基本服务计费乘附加系数计取）</w:t>
      </w:r>
    </w:p>
    <w:tbl>
      <w:tblPr>
        <w:tblW w:w="11729" w:type="dxa"/>
        <w:tblCellMar>
          <w:left w:w="0" w:type="dxa"/>
          <w:right w:w="0" w:type="dxa"/>
        </w:tblCellMar>
        <w:tblLook w:val="04A0" w:firstRow="1" w:lastRow="0" w:firstColumn="1" w:lastColumn="0" w:noHBand="0" w:noVBand="1"/>
      </w:tblPr>
      <w:tblGrid>
        <w:gridCol w:w="1105"/>
        <w:gridCol w:w="3395"/>
        <w:gridCol w:w="3827"/>
        <w:gridCol w:w="3402"/>
      </w:tblGrid>
      <w:tr w:rsidR="00546BFE" w:rsidRPr="00546BFE" w:rsidTr="00546BFE">
        <w:trPr>
          <w:trHeight w:val="570"/>
        </w:trPr>
        <w:tc>
          <w:tcPr>
            <w:tcW w:w="11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序号</w:t>
            </w:r>
          </w:p>
        </w:tc>
        <w:tc>
          <w:tcPr>
            <w:tcW w:w="33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服务内容</w:t>
            </w:r>
          </w:p>
        </w:tc>
        <w:tc>
          <w:tcPr>
            <w:tcW w:w="382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服务计费</w:t>
            </w:r>
          </w:p>
        </w:tc>
        <w:tc>
          <w:tcPr>
            <w:tcW w:w="340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备注</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总体设计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设计基本服务计费×0.1</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见注1、注3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主体设计协调（</w:t>
            </w:r>
            <w:proofErr w:type="gramStart"/>
            <w:r w:rsidRPr="00546BFE">
              <w:rPr>
                <w:rFonts w:ascii="宋体" w:eastAsia="宋体" w:hAnsi="宋体" w:cs="宋体" w:hint="eastAsia"/>
                <w:kern w:val="0"/>
                <w:szCs w:val="21"/>
              </w:rPr>
              <w:t>含设计</w:t>
            </w:r>
            <w:proofErr w:type="gramEnd"/>
            <w:r w:rsidRPr="00546BFE">
              <w:rPr>
                <w:rFonts w:ascii="宋体" w:eastAsia="宋体" w:hAnsi="宋体" w:cs="宋体" w:hint="eastAsia"/>
                <w:kern w:val="0"/>
                <w:szCs w:val="21"/>
              </w:rPr>
              <w:t>总包服务）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设计基本服务计费×0.1</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见注2、注3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绿色建筑设计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一星：设计基本服务计费×0.05</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二星：设计基本服务计费×0.15</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三星：设计基本服务计费×0.30</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见注3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BIM技术应用</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设计基本服务计费×（0.2-0.5）</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根据BIM设计深度、复杂程度和服务内容确定附加系数。</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另见注3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5</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被动式节能建筑设计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设计基本服务计费×（0.3-0.5）</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见注3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预制装配式建筑设计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设计基本服务计费×（0.3-0.5）</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见注3</w:t>
            </w: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编制施工招标技术文件</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设计基本服务计费×0.1</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编制工程量清单</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设计基本服务计费×0.1</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9</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编制施工图预算</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设计基本服务计费×0.1</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建设过程技术顾问咨询</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设计基本服务计费×0.25</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11</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编制竣工图</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设计基本服务计费×0.08</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12</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驻场服务</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参照《建筑设计服务计费指导》之附表五《工程咨询服务工日费用标准》执行</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r w:rsidR="00546BFE" w:rsidRPr="00546BFE" w:rsidTr="00546BFE">
        <w:trPr>
          <w:trHeight w:val="510"/>
        </w:trPr>
        <w:tc>
          <w:tcPr>
            <w:tcW w:w="11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13</w:t>
            </w:r>
          </w:p>
        </w:tc>
        <w:tc>
          <w:tcPr>
            <w:tcW w:w="33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其它</w:t>
            </w:r>
          </w:p>
        </w:tc>
        <w:tc>
          <w:tcPr>
            <w:tcW w:w="382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参照上述有关类似项目标准取费</w:t>
            </w:r>
          </w:p>
        </w:tc>
        <w:tc>
          <w:tcPr>
            <w:tcW w:w="340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注1：总体设计指初步设计之前，一些大型、特大型建设项目，由于建设规模大、设计内容多，需要分步建设，但在项目实施前需要有一个总体设想， 以便各建设内容之间相互衔接配合，因此往往需要编制总体设计或称总体规划设计。总体设计的主要内容包括：整个建设项目的组成、功能、目标和规模，建设条件、设计依据和设计原则，总工艺流程、总体布局和总体建设方案，各单项工程的设计概况，工程环保、劳动安全卫生等设计方案，整个工程的初步概算和投资效益分析等。一般建设项目的总平面布置或总图设计不属于总体设计范畴，</w:t>
      </w:r>
      <w:proofErr w:type="gramStart"/>
      <w:r w:rsidRPr="00546BFE">
        <w:rPr>
          <w:rFonts w:ascii="宋体" w:eastAsia="宋体" w:hAnsi="宋体" w:cs="宋体" w:hint="eastAsia"/>
          <w:color w:val="3E3E3E"/>
          <w:kern w:val="0"/>
          <w:sz w:val="18"/>
          <w:szCs w:val="18"/>
        </w:rPr>
        <w:t>不</w:t>
      </w:r>
      <w:proofErr w:type="gramEnd"/>
      <w:r w:rsidRPr="00546BFE">
        <w:rPr>
          <w:rFonts w:ascii="宋体" w:eastAsia="宋体" w:hAnsi="宋体" w:cs="宋体" w:hint="eastAsia"/>
          <w:color w:val="3E3E3E"/>
          <w:kern w:val="0"/>
          <w:sz w:val="18"/>
          <w:szCs w:val="18"/>
        </w:rPr>
        <w:t>应收取总体设计费。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注2：主体设计协调指建设项目工程由发包人分别委托两个或者两个以上设计人承担，设计总</w:t>
      </w:r>
      <w:proofErr w:type="gramStart"/>
      <w:r w:rsidRPr="00546BFE">
        <w:rPr>
          <w:rFonts w:ascii="宋体" w:eastAsia="宋体" w:hAnsi="宋体" w:cs="宋体" w:hint="eastAsia"/>
          <w:color w:val="3E3E3E"/>
          <w:kern w:val="0"/>
          <w:sz w:val="18"/>
          <w:szCs w:val="18"/>
        </w:rPr>
        <w:t>包服务</w:t>
      </w:r>
      <w:proofErr w:type="gramEnd"/>
      <w:r w:rsidRPr="00546BFE">
        <w:rPr>
          <w:rFonts w:ascii="宋体" w:eastAsia="宋体" w:hAnsi="宋体" w:cs="宋体" w:hint="eastAsia"/>
          <w:color w:val="3E3E3E"/>
          <w:kern w:val="0"/>
          <w:sz w:val="18"/>
          <w:szCs w:val="18"/>
        </w:rPr>
        <w:t>是指发包人委托设计人承担全部设计服务，上述两种情况下，设计人应对建设项目工程设计合理性和整体性负责，发包人应支付主体协调费。</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注3：同时承担表中序号1、2、3、4、5、6项时，系数相加不大于 1.0。</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roofErr w:type="gramStart"/>
      <w:r w:rsidRPr="00546BFE">
        <w:rPr>
          <w:rFonts w:ascii="宋体" w:eastAsia="宋体" w:hAnsi="宋体" w:cs="宋体" w:hint="eastAsia"/>
          <w:b/>
          <w:bCs/>
          <w:color w:val="3E3E3E"/>
          <w:kern w:val="0"/>
          <w:szCs w:val="21"/>
        </w:rPr>
        <w:t>附表七</w:t>
      </w:r>
      <w:proofErr w:type="gramEnd"/>
      <w:r w:rsidRPr="00546BFE">
        <w:rPr>
          <w:rFonts w:ascii="宋体" w:eastAsia="宋体" w:hAnsi="宋体" w:cs="宋体" w:hint="eastAsia"/>
          <w:b/>
          <w:bCs/>
          <w:color w:val="3E3E3E"/>
          <w:kern w:val="0"/>
          <w:szCs w:val="21"/>
        </w:rPr>
        <w:t xml:space="preserve"> 设计其他服务计费表（Ⅱ）</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lastRenderedPageBreak/>
        <w:t>（以用地面积、建筑面积计取）</w:t>
      </w:r>
    </w:p>
    <w:tbl>
      <w:tblPr>
        <w:tblW w:w="9886" w:type="dxa"/>
        <w:tblCellMar>
          <w:left w:w="0" w:type="dxa"/>
          <w:right w:w="0" w:type="dxa"/>
        </w:tblCellMar>
        <w:tblLook w:val="04A0" w:firstRow="1" w:lastRow="0" w:firstColumn="1" w:lastColumn="0" w:noHBand="0" w:noVBand="1"/>
      </w:tblPr>
      <w:tblGrid>
        <w:gridCol w:w="672"/>
        <w:gridCol w:w="3119"/>
        <w:gridCol w:w="1843"/>
        <w:gridCol w:w="4252"/>
      </w:tblGrid>
      <w:tr w:rsidR="00546BFE" w:rsidRPr="00546BFE" w:rsidTr="00546BFE">
        <w:trPr>
          <w:trHeight w:val="390"/>
        </w:trPr>
        <w:tc>
          <w:tcPr>
            <w:tcW w:w="6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序号</w:t>
            </w:r>
          </w:p>
        </w:tc>
        <w:tc>
          <w:tcPr>
            <w:tcW w:w="311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服务内容</w:t>
            </w:r>
          </w:p>
        </w:tc>
        <w:tc>
          <w:tcPr>
            <w:tcW w:w="184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服务计费</w:t>
            </w:r>
          </w:p>
        </w:tc>
        <w:tc>
          <w:tcPr>
            <w:tcW w:w="425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ind w:left="5422" w:hangingChars="2582" w:hanging="5422"/>
              <w:jc w:val="left"/>
              <w:rPr>
                <w:rFonts w:ascii="宋体" w:eastAsia="宋体" w:hAnsi="宋体" w:cs="宋体"/>
                <w:kern w:val="0"/>
                <w:sz w:val="24"/>
                <w:szCs w:val="24"/>
              </w:rPr>
            </w:pPr>
            <w:r w:rsidRPr="00546BFE">
              <w:rPr>
                <w:rFonts w:ascii="宋体" w:eastAsia="宋体" w:hAnsi="宋体" w:cs="宋体" w:hint="eastAsia"/>
                <w:kern w:val="0"/>
                <w:szCs w:val="21"/>
              </w:rPr>
              <w:t>备注</w:t>
            </w:r>
          </w:p>
        </w:tc>
      </w:tr>
      <w:tr w:rsidR="00546BFE" w:rsidRPr="00546BFE" w:rsidTr="00546BFE">
        <w:trPr>
          <w:trHeight w:val="390"/>
        </w:trPr>
        <w:tc>
          <w:tcPr>
            <w:tcW w:w="6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w:t>
            </w:r>
          </w:p>
        </w:tc>
        <w:tc>
          <w:tcPr>
            <w:tcW w:w="311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概念性规划方案设计</w:t>
            </w:r>
          </w:p>
        </w:tc>
        <w:tc>
          <w:tcPr>
            <w:tcW w:w="18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10000元/ha</w:t>
            </w:r>
          </w:p>
        </w:tc>
        <w:tc>
          <w:tcPr>
            <w:tcW w:w="42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以用地面积计算</w:t>
            </w:r>
          </w:p>
        </w:tc>
      </w:tr>
      <w:tr w:rsidR="00546BFE" w:rsidRPr="00546BFE" w:rsidTr="00546BFE">
        <w:trPr>
          <w:trHeight w:val="390"/>
        </w:trPr>
        <w:tc>
          <w:tcPr>
            <w:tcW w:w="6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w:t>
            </w:r>
          </w:p>
        </w:tc>
        <w:tc>
          <w:tcPr>
            <w:tcW w:w="311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概念性建筑方案设计</w:t>
            </w:r>
          </w:p>
        </w:tc>
        <w:tc>
          <w:tcPr>
            <w:tcW w:w="18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5-25元/m2</w:t>
            </w:r>
          </w:p>
        </w:tc>
        <w:tc>
          <w:tcPr>
            <w:tcW w:w="42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以建筑面积计算</w:t>
            </w:r>
          </w:p>
        </w:tc>
      </w:tr>
      <w:tr w:rsidR="00546BFE" w:rsidRPr="00546BFE" w:rsidTr="00546BFE">
        <w:trPr>
          <w:trHeight w:val="390"/>
        </w:trPr>
        <w:tc>
          <w:tcPr>
            <w:tcW w:w="6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w:t>
            </w:r>
          </w:p>
        </w:tc>
        <w:tc>
          <w:tcPr>
            <w:tcW w:w="311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建筑总平面布置或者小区规划方案设计</w:t>
            </w:r>
          </w:p>
        </w:tc>
        <w:tc>
          <w:tcPr>
            <w:tcW w:w="18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30000元/ha</w:t>
            </w:r>
          </w:p>
        </w:tc>
        <w:tc>
          <w:tcPr>
            <w:tcW w:w="42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以用地面积计算</w:t>
            </w:r>
          </w:p>
        </w:tc>
      </w:tr>
      <w:tr w:rsidR="00546BFE" w:rsidRPr="00546BFE" w:rsidTr="00546BFE">
        <w:trPr>
          <w:trHeight w:val="390"/>
        </w:trPr>
        <w:tc>
          <w:tcPr>
            <w:tcW w:w="6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w:t>
            </w:r>
          </w:p>
        </w:tc>
        <w:tc>
          <w:tcPr>
            <w:tcW w:w="311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绿色建筑设计标识评价咨询服务</w:t>
            </w:r>
          </w:p>
        </w:tc>
        <w:tc>
          <w:tcPr>
            <w:tcW w:w="184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一星：3元/m2</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二星：6元/m2</w:t>
            </w:r>
          </w:p>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三星：10元/m2</w:t>
            </w:r>
          </w:p>
        </w:tc>
        <w:tc>
          <w:tcPr>
            <w:tcW w:w="425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不包括绿色建筑设计标识评价申报的工作。</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b/>
          <w:bCs/>
          <w:color w:val="3E3E3E"/>
          <w:kern w:val="0"/>
          <w:szCs w:val="21"/>
        </w:rPr>
        <w:t>附表八 设计其他服务计费表（Ⅲ）</w:t>
      </w:r>
    </w:p>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Cs w:val="21"/>
        </w:rPr>
        <w:t>（以单项工程投资额计费）</w:t>
      </w:r>
    </w:p>
    <w:tbl>
      <w:tblPr>
        <w:tblW w:w="11729" w:type="dxa"/>
        <w:tblCellMar>
          <w:left w:w="0" w:type="dxa"/>
          <w:right w:w="0" w:type="dxa"/>
        </w:tblCellMar>
        <w:tblLook w:val="04A0" w:firstRow="1" w:lastRow="0" w:firstColumn="1" w:lastColumn="0" w:noHBand="0" w:noVBand="1"/>
      </w:tblPr>
      <w:tblGrid>
        <w:gridCol w:w="968"/>
        <w:gridCol w:w="3408"/>
        <w:gridCol w:w="5124"/>
        <w:gridCol w:w="2229"/>
      </w:tblGrid>
      <w:tr w:rsidR="00546BFE" w:rsidRPr="00546BFE" w:rsidTr="00546BFE">
        <w:trPr>
          <w:trHeight w:val="390"/>
        </w:trPr>
        <w:tc>
          <w:tcPr>
            <w:tcW w:w="9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序号</w:t>
            </w:r>
          </w:p>
        </w:tc>
        <w:tc>
          <w:tcPr>
            <w:tcW w:w="340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服务内容</w:t>
            </w:r>
          </w:p>
        </w:tc>
        <w:tc>
          <w:tcPr>
            <w:tcW w:w="51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w:t>
            </w:r>
          </w:p>
        </w:tc>
        <w:tc>
          <w:tcPr>
            <w:tcW w:w="222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服务计费</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室内装修设计（含机电配合设计）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以室内装修工程的建筑安装费用投资额为计费额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计费额×5.5%（8.5%）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2</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建筑智能化设计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以建筑智能化工程的建筑安装费用投资额为计费额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3</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幕墙设计（</w:t>
            </w:r>
            <w:proofErr w:type="gramStart"/>
            <w:r w:rsidRPr="00546BFE">
              <w:rPr>
                <w:rFonts w:ascii="宋体" w:eastAsia="宋体" w:hAnsi="宋体" w:cs="宋体" w:hint="eastAsia"/>
                <w:kern w:val="0"/>
                <w:szCs w:val="21"/>
              </w:rPr>
              <w:t>含深化</w:t>
            </w:r>
            <w:proofErr w:type="gramEnd"/>
            <w:r w:rsidRPr="00546BFE">
              <w:rPr>
                <w:rFonts w:ascii="宋体" w:eastAsia="宋体" w:hAnsi="宋体" w:cs="宋体" w:hint="eastAsia"/>
                <w:kern w:val="0"/>
                <w:szCs w:val="21"/>
              </w:rPr>
              <w:t>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以幕墙工程的建筑安装费用为计费额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计费额×4.5%（6%）</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4</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特殊照明设计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以特殊照明工程的建筑安装费用为计费额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5</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钢结构深化设计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以钢结构工程的建筑安装费用为计费额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6</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金属屋面设计（</w:t>
            </w:r>
            <w:proofErr w:type="gramStart"/>
            <w:r w:rsidRPr="00546BFE">
              <w:rPr>
                <w:rFonts w:ascii="宋体" w:eastAsia="宋体" w:hAnsi="宋体" w:cs="宋体" w:hint="eastAsia"/>
                <w:kern w:val="0"/>
                <w:szCs w:val="21"/>
              </w:rPr>
              <w:t>含深化</w:t>
            </w:r>
            <w:proofErr w:type="gramEnd"/>
            <w:r w:rsidRPr="00546BFE">
              <w:rPr>
                <w:rFonts w:ascii="宋体" w:eastAsia="宋体" w:hAnsi="宋体" w:cs="宋体" w:hint="eastAsia"/>
                <w:kern w:val="0"/>
                <w:szCs w:val="21"/>
              </w:rPr>
              <w:t>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以金属屋面工程的建筑安装费用为计费额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7</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风景园林景观设计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以园林景观工程的建筑安装费用为计费额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计费额×6%</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8</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特殊声学设计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以特殊声学装修工程的建筑安装费用为计费额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计费额×9%</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lastRenderedPageBreak/>
              <w:t>9</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室外工程设计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以室外工程的建筑安装费用为计费额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计费额×4.5%</w:t>
            </w:r>
          </w:p>
        </w:tc>
      </w:tr>
      <w:tr w:rsidR="00546BFE" w:rsidRPr="00546BFE" w:rsidTr="00546BFE">
        <w:trPr>
          <w:trHeight w:val="390"/>
        </w:trPr>
        <w:tc>
          <w:tcPr>
            <w:tcW w:w="96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10</w:t>
            </w:r>
          </w:p>
        </w:tc>
        <w:tc>
          <w:tcPr>
            <w:tcW w:w="340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地（水）源热泵设计</w:t>
            </w:r>
          </w:p>
        </w:tc>
        <w:tc>
          <w:tcPr>
            <w:tcW w:w="51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以地（水）源热泵工程的建筑安装费用为计费额</w:t>
            </w:r>
          </w:p>
        </w:tc>
        <w:tc>
          <w:tcPr>
            <w:tcW w:w="22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46BFE" w:rsidRPr="00546BFE" w:rsidRDefault="00546BFE" w:rsidP="00546BFE">
            <w:pPr>
              <w:widowControl/>
              <w:wordWrap w:val="0"/>
              <w:jc w:val="left"/>
              <w:rPr>
                <w:rFonts w:ascii="宋体" w:eastAsia="宋体" w:hAnsi="宋体" w:cs="宋体"/>
                <w:kern w:val="0"/>
                <w:sz w:val="24"/>
                <w:szCs w:val="24"/>
              </w:rPr>
            </w:pPr>
            <w:r w:rsidRPr="00546BFE">
              <w:rPr>
                <w:rFonts w:ascii="宋体" w:eastAsia="宋体" w:hAnsi="宋体" w:cs="宋体" w:hint="eastAsia"/>
                <w:kern w:val="0"/>
                <w:szCs w:val="21"/>
              </w:rPr>
              <w:t>计费额×4%</w:t>
            </w:r>
          </w:p>
        </w:tc>
      </w:tr>
    </w:tbl>
    <w:p w:rsidR="00546BFE" w:rsidRPr="00546BFE" w:rsidRDefault="00546BFE" w:rsidP="00546BFE">
      <w:pPr>
        <w:widowControl/>
        <w:spacing w:line="349" w:lineRule="atLeast"/>
        <w:jc w:val="left"/>
        <w:rPr>
          <w:rFonts w:ascii="微软雅黑" w:eastAsia="微软雅黑" w:hAnsi="微软雅黑" w:cs="宋体" w:hint="eastAsia"/>
          <w:color w:val="3E3E3E"/>
          <w:kern w:val="0"/>
          <w:sz w:val="24"/>
          <w:szCs w:val="24"/>
        </w:rPr>
      </w:pPr>
      <w:r w:rsidRPr="00546BFE">
        <w:rPr>
          <w:rFonts w:ascii="宋体" w:eastAsia="宋体" w:hAnsi="宋体" w:cs="宋体" w:hint="eastAsia"/>
          <w:color w:val="3E3E3E"/>
          <w:kern w:val="0"/>
          <w:sz w:val="18"/>
          <w:szCs w:val="18"/>
        </w:rPr>
        <w:t>注：特殊声学设计，当特殊声学装修工程的建筑安装费用不能清晰界定时，可作为“声学技术咨询”按附表五《工程咨询服务工日费用表》计费。</w:t>
      </w:r>
    </w:p>
    <w:p w:rsidR="00546BFE" w:rsidRPr="00546BFE" w:rsidRDefault="00546BFE" w:rsidP="00546BFE">
      <w:pPr>
        <w:widowControl/>
        <w:shd w:val="clear" w:color="auto" w:fill="FFFFFF"/>
        <w:spacing w:line="349" w:lineRule="atLeast"/>
        <w:jc w:val="left"/>
        <w:rPr>
          <w:rFonts w:ascii="微软雅黑" w:eastAsia="微软雅黑" w:hAnsi="微软雅黑" w:cs="宋体" w:hint="eastAsia"/>
          <w:color w:val="3E3E3E"/>
          <w:kern w:val="0"/>
          <w:sz w:val="24"/>
          <w:szCs w:val="24"/>
        </w:rPr>
      </w:pPr>
    </w:p>
    <w:p w:rsidR="00546BFE" w:rsidRPr="00546BFE" w:rsidRDefault="00546BFE" w:rsidP="00546BFE">
      <w:pPr>
        <w:widowControl/>
        <w:shd w:val="clear" w:color="auto" w:fill="FFFFFF"/>
        <w:spacing w:line="349" w:lineRule="atLeast"/>
        <w:ind w:right="840" w:firstLineChars="4000" w:firstLine="8400"/>
        <w:rPr>
          <w:rFonts w:ascii="微软雅黑" w:eastAsia="微软雅黑" w:hAnsi="微软雅黑" w:cs="宋体" w:hint="eastAsia"/>
          <w:color w:val="3E3E3E"/>
          <w:kern w:val="0"/>
          <w:sz w:val="24"/>
          <w:szCs w:val="24"/>
        </w:rPr>
      </w:pPr>
      <w:r w:rsidRPr="00546BFE">
        <w:rPr>
          <w:rFonts w:ascii="微软雅黑" w:eastAsia="微软雅黑" w:hAnsi="微软雅黑" w:cs="宋体" w:hint="eastAsia"/>
          <w:color w:val="3E3E3E"/>
          <w:kern w:val="0"/>
          <w:szCs w:val="21"/>
        </w:rPr>
        <w:t>来源：中国勘察设计协会</w:t>
      </w:r>
    </w:p>
    <w:p w:rsidR="0068274F" w:rsidRPr="00546BFE" w:rsidRDefault="0068274F">
      <w:pPr>
        <w:rPr>
          <w:rFonts w:hint="eastAsia"/>
        </w:rPr>
      </w:pPr>
    </w:p>
    <w:sectPr w:rsidR="0068274F" w:rsidRPr="00546BFE" w:rsidSect="00546BF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E"/>
    <w:rsid w:val="00546BFE"/>
    <w:rsid w:val="0068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46B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6BFE"/>
    <w:rPr>
      <w:rFonts w:ascii="宋体" w:eastAsia="宋体" w:hAnsi="宋体" w:cs="宋体"/>
      <w:b/>
      <w:bCs/>
      <w:kern w:val="0"/>
      <w:sz w:val="36"/>
      <w:szCs w:val="36"/>
    </w:rPr>
  </w:style>
  <w:style w:type="character" w:styleId="a3">
    <w:name w:val="Emphasis"/>
    <w:basedOn w:val="a0"/>
    <w:uiPriority w:val="20"/>
    <w:qFormat/>
    <w:rsid w:val="00546BFE"/>
    <w:rPr>
      <w:i/>
      <w:iCs/>
    </w:rPr>
  </w:style>
  <w:style w:type="character" w:customStyle="1" w:styleId="apple-converted-space">
    <w:name w:val="apple-converted-space"/>
    <w:basedOn w:val="a0"/>
    <w:rsid w:val="00546BFE"/>
  </w:style>
  <w:style w:type="character" w:customStyle="1" w:styleId="richmediameta">
    <w:name w:val="rich_media_meta"/>
    <w:basedOn w:val="a0"/>
    <w:rsid w:val="00546BFE"/>
  </w:style>
  <w:style w:type="paragraph" w:styleId="a4">
    <w:name w:val="Normal (Web)"/>
    <w:basedOn w:val="a"/>
    <w:uiPriority w:val="99"/>
    <w:unhideWhenUsed/>
    <w:rsid w:val="00546BF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46BFE"/>
    <w:rPr>
      <w:b/>
      <w:bCs/>
    </w:rPr>
  </w:style>
  <w:style w:type="paragraph" w:styleId="a6">
    <w:name w:val="Balloon Text"/>
    <w:basedOn w:val="a"/>
    <w:link w:val="Char"/>
    <w:uiPriority w:val="99"/>
    <w:semiHidden/>
    <w:unhideWhenUsed/>
    <w:rsid w:val="00546BFE"/>
    <w:rPr>
      <w:sz w:val="18"/>
      <w:szCs w:val="18"/>
    </w:rPr>
  </w:style>
  <w:style w:type="character" w:customStyle="1" w:styleId="Char">
    <w:name w:val="批注框文本 Char"/>
    <w:basedOn w:val="a0"/>
    <w:link w:val="a6"/>
    <w:uiPriority w:val="99"/>
    <w:semiHidden/>
    <w:rsid w:val="00546B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46B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6BFE"/>
    <w:rPr>
      <w:rFonts w:ascii="宋体" w:eastAsia="宋体" w:hAnsi="宋体" w:cs="宋体"/>
      <w:b/>
      <w:bCs/>
      <w:kern w:val="0"/>
      <w:sz w:val="36"/>
      <w:szCs w:val="36"/>
    </w:rPr>
  </w:style>
  <w:style w:type="character" w:styleId="a3">
    <w:name w:val="Emphasis"/>
    <w:basedOn w:val="a0"/>
    <w:uiPriority w:val="20"/>
    <w:qFormat/>
    <w:rsid w:val="00546BFE"/>
    <w:rPr>
      <w:i/>
      <w:iCs/>
    </w:rPr>
  </w:style>
  <w:style w:type="character" w:customStyle="1" w:styleId="apple-converted-space">
    <w:name w:val="apple-converted-space"/>
    <w:basedOn w:val="a0"/>
    <w:rsid w:val="00546BFE"/>
  </w:style>
  <w:style w:type="character" w:customStyle="1" w:styleId="richmediameta">
    <w:name w:val="rich_media_meta"/>
    <w:basedOn w:val="a0"/>
    <w:rsid w:val="00546BFE"/>
  </w:style>
  <w:style w:type="paragraph" w:styleId="a4">
    <w:name w:val="Normal (Web)"/>
    <w:basedOn w:val="a"/>
    <w:uiPriority w:val="99"/>
    <w:unhideWhenUsed/>
    <w:rsid w:val="00546BF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46BFE"/>
    <w:rPr>
      <w:b/>
      <w:bCs/>
    </w:rPr>
  </w:style>
  <w:style w:type="paragraph" w:styleId="a6">
    <w:name w:val="Balloon Text"/>
    <w:basedOn w:val="a"/>
    <w:link w:val="Char"/>
    <w:uiPriority w:val="99"/>
    <w:semiHidden/>
    <w:unhideWhenUsed/>
    <w:rsid w:val="00546BFE"/>
    <w:rPr>
      <w:sz w:val="18"/>
      <w:szCs w:val="18"/>
    </w:rPr>
  </w:style>
  <w:style w:type="character" w:customStyle="1" w:styleId="Char">
    <w:name w:val="批注框文本 Char"/>
    <w:basedOn w:val="a0"/>
    <w:link w:val="a6"/>
    <w:uiPriority w:val="99"/>
    <w:semiHidden/>
    <w:rsid w:val="00546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01">
      <w:bodyDiv w:val="1"/>
      <w:marLeft w:val="0"/>
      <w:marRight w:val="0"/>
      <w:marTop w:val="0"/>
      <w:marBottom w:val="0"/>
      <w:divBdr>
        <w:top w:val="none" w:sz="0" w:space="0" w:color="auto"/>
        <w:left w:val="none" w:sz="0" w:space="0" w:color="auto"/>
        <w:bottom w:val="none" w:sz="0" w:space="0" w:color="auto"/>
        <w:right w:val="none" w:sz="0" w:space="0" w:color="auto"/>
      </w:divBdr>
      <w:divsChild>
        <w:div w:id="1145590784">
          <w:marLeft w:val="0"/>
          <w:marRight w:val="0"/>
          <w:marTop w:val="0"/>
          <w:marBottom w:val="270"/>
          <w:divBdr>
            <w:top w:val="none" w:sz="0" w:space="0" w:color="auto"/>
            <w:left w:val="none" w:sz="0" w:space="0" w:color="auto"/>
            <w:bottom w:val="none" w:sz="0" w:space="0" w:color="auto"/>
            <w:right w:val="none" w:sz="0" w:space="0" w:color="auto"/>
          </w:divBdr>
        </w:div>
        <w:div w:id="87793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953</Words>
  <Characters>5433</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2016-12-01T07:09:00Z</dcterms:created>
  <dcterms:modified xsi:type="dcterms:W3CDTF">2016-12-01T07:18:00Z</dcterms:modified>
</cp:coreProperties>
</file>