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FE" w:rsidRPr="00546BFE" w:rsidRDefault="00546BFE" w:rsidP="00546BFE">
      <w:pPr>
        <w:widowControl/>
        <w:spacing w:after="150"/>
        <w:jc w:val="left"/>
        <w:outlineLvl w:val="1"/>
        <w:rPr>
          <w:rFonts w:ascii="微软雅黑" w:eastAsia="微软雅黑" w:hAnsi="微软雅黑" w:cs="宋体"/>
          <w:color w:val="000000"/>
          <w:kern w:val="0"/>
          <w:sz w:val="36"/>
          <w:szCs w:val="36"/>
        </w:rPr>
      </w:pPr>
      <w:bookmarkStart w:id="0" w:name="_GoBack"/>
      <w:r>
        <w:rPr>
          <w:rFonts w:ascii="微软雅黑" w:eastAsia="微软雅黑" w:hAnsi="微软雅黑" w:cs="宋体" w:hint="eastAsia"/>
          <w:color w:val="000000"/>
          <w:kern w:val="0"/>
          <w:sz w:val="36"/>
          <w:szCs w:val="36"/>
        </w:rPr>
        <w:t>2015</w:t>
      </w:r>
      <w:r w:rsidRPr="00546BFE">
        <w:rPr>
          <w:rFonts w:ascii="微软雅黑" w:eastAsia="微软雅黑" w:hAnsi="微软雅黑" w:cs="宋体" w:hint="eastAsia"/>
          <w:color w:val="000000"/>
          <w:kern w:val="0"/>
          <w:sz w:val="36"/>
          <w:szCs w:val="36"/>
        </w:rPr>
        <w:t>新版《建筑设计服务计费指导》</w:t>
      </w:r>
    </w:p>
    <w:bookmarkEnd w:id="0"/>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微软雅黑" w:eastAsia="微软雅黑" w:hAnsi="微软雅黑" w:cs="宋体" w:hint="eastAsia"/>
          <w:b/>
          <w:bCs/>
          <w:color w:val="FF2941"/>
          <w:kern w:val="0"/>
          <w:sz w:val="24"/>
          <w:szCs w:val="24"/>
        </w:rPr>
        <w:t>第一章 综述</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 w:val="24"/>
          <w:szCs w:val="24"/>
        </w:rPr>
        <w:t>1、总则</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1.1</w:t>
      </w:r>
      <w:r w:rsidRPr="00546BFE">
        <w:rPr>
          <w:rFonts w:ascii="宋体" w:eastAsia="宋体" w:hAnsi="宋体" w:cs="宋体" w:hint="eastAsia"/>
          <w:color w:val="3E3E3E"/>
          <w:kern w:val="0"/>
          <w:szCs w:val="21"/>
        </w:rPr>
        <w:t xml:space="preserve"> 为了适应市场经济的发展形势与需要，维护建筑设计市场秩序，确保设计质量和服务质量，有助于发包人、设计人协商确定设计服务计费，编制《建筑设计服务计费指导》（以下称《计费指导》）。</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 xml:space="preserve">1.2 </w:t>
      </w:r>
      <w:r w:rsidRPr="00546BFE">
        <w:rPr>
          <w:rFonts w:ascii="宋体" w:eastAsia="宋体" w:hAnsi="宋体" w:cs="宋体" w:hint="eastAsia"/>
          <w:color w:val="3E3E3E"/>
          <w:kern w:val="0"/>
          <w:szCs w:val="21"/>
        </w:rPr>
        <w:t>发包人和设计人依法维护市场秩序，保证建筑设计服务计费的公正性、客观性和合理性。</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 xml:space="preserve">1.3 </w:t>
      </w:r>
      <w:r w:rsidRPr="00546BFE">
        <w:rPr>
          <w:rFonts w:ascii="宋体" w:eastAsia="宋体" w:hAnsi="宋体" w:cs="宋体" w:hint="eastAsia"/>
          <w:color w:val="3E3E3E"/>
          <w:kern w:val="0"/>
          <w:szCs w:val="21"/>
        </w:rPr>
        <w:t>建筑设计服务计费应当体现优质优价的原则。凡在建筑设计中采用本《计费指导》未涵盖的新技术、新工艺、新设备、新材料或其它科技成果，有利于提高建设项目经济效益或环境效益、社会效益的，经发包人和设计人协商，可以在本《计费指导》基础上适当上浮计费额。</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 xml:space="preserve">1.4 </w:t>
      </w:r>
      <w:r w:rsidRPr="00546BFE">
        <w:rPr>
          <w:rFonts w:ascii="宋体" w:eastAsia="宋体" w:hAnsi="宋体" w:cs="宋体" w:hint="eastAsia"/>
          <w:color w:val="3E3E3E"/>
          <w:kern w:val="0"/>
          <w:szCs w:val="21"/>
        </w:rPr>
        <w:t>建筑设计服务费按以下方式支付：</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（1）合同签订后7天内，发包人应向设计人支付设计费总额的20%作为定金；</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（2）提交方案设计文件后7天内，发包人向设计人再支付设计费总额的10%；</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（3）提交初步设计文件后7天内，发包人向设计人再支付设计费总额的20%；</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（4）提交施工图设计文件后7天内，发包人向设计人再支付设计费总额的30%；</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（5）施工图设计文件通过审查后7天内或施工图设计文件提交后3个月内，发包人向设计人再支付设计费总额的10%；</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（6）工程结构封顶后7天内，发包人向设计人再支付设计费总额的5%；</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（7）工程竣工设计验收或投入使用后7天内，发包人向设计人支付全部剩余设计费。</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 xml:space="preserve">1.5 </w:t>
      </w:r>
      <w:r w:rsidRPr="00546BFE">
        <w:rPr>
          <w:rFonts w:ascii="宋体" w:eastAsia="宋体" w:hAnsi="宋体" w:cs="宋体" w:hint="eastAsia"/>
          <w:color w:val="3E3E3E"/>
          <w:kern w:val="0"/>
          <w:szCs w:val="21"/>
        </w:rPr>
        <w:t>由于发包人原因造成建筑设计工作较大返工、修改和增加工作量的，发包人向设计人另外支付相应的建筑设计服务费并适当延长设计工期。</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 xml:space="preserve">1.6 </w:t>
      </w:r>
      <w:r w:rsidRPr="00546BFE">
        <w:rPr>
          <w:rFonts w:ascii="宋体" w:eastAsia="宋体" w:hAnsi="宋体" w:cs="宋体" w:hint="eastAsia"/>
          <w:color w:val="3E3E3E"/>
          <w:kern w:val="0"/>
          <w:szCs w:val="21"/>
        </w:rPr>
        <w:t>由于发包人原因，要求设计人在住房和城乡建设部颁布的《建筑设计周期定额》规定的周期内提前交付设计文件，设计人在确保设计质量与深度的前提下采取措施予以实现时，发包人向设计人支付赶工费。</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 xml:space="preserve">1.7 </w:t>
      </w:r>
      <w:r w:rsidRPr="00546BFE">
        <w:rPr>
          <w:rFonts w:ascii="宋体" w:eastAsia="宋体" w:hAnsi="宋体" w:cs="宋体" w:hint="eastAsia"/>
          <w:color w:val="3E3E3E"/>
          <w:kern w:val="0"/>
          <w:szCs w:val="21"/>
        </w:rPr>
        <w:t>发包人因非设计</w:t>
      </w:r>
      <w:proofErr w:type="gramStart"/>
      <w:r w:rsidRPr="00546BFE">
        <w:rPr>
          <w:rFonts w:ascii="宋体" w:eastAsia="宋体" w:hAnsi="宋体" w:cs="宋体" w:hint="eastAsia"/>
          <w:color w:val="3E3E3E"/>
          <w:kern w:val="0"/>
          <w:szCs w:val="21"/>
        </w:rPr>
        <w:t>人原因</w:t>
      </w:r>
      <w:proofErr w:type="gramEnd"/>
      <w:r w:rsidRPr="00546BFE">
        <w:rPr>
          <w:rFonts w:ascii="宋体" w:eastAsia="宋体" w:hAnsi="宋体" w:cs="宋体" w:hint="eastAsia"/>
          <w:color w:val="3E3E3E"/>
          <w:kern w:val="0"/>
          <w:szCs w:val="21"/>
        </w:rPr>
        <w:t>要求终止或解除合同，设计人未开始设计工作的，不退还发包人已付的定金或发包人按合同约定向设计人支付违约金；已开始设计工作的，设计人完成工作量不足一半时，发包人向设计人支付设计费总额的50%，超过一半时，支付全部设计费。</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lastRenderedPageBreak/>
        <w:t xml:space="preserve">1.8 </w:t>
      </w:r>
      <w:r w:rsidRPr="00546BFE">
        <w:rPr>
          <w:rFonts w:ascii="宋体" w:eastAsia="宋体" w:hAnsi="宋体" w:cs="宋体" w:hint="eastAsia"/>
          <w:color w:val="3E3E3E"/>
          <w:kern w:val="0"/>
          <w:szCs w:val="21"/>
        </w:rPr>
        <w:t>本《计费指导》可作为建设项目编制立项报告、项目建议书、可行性研究报告等文件中估算设计及咨询服务计费额的参考。</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 w:val="24"/>
          <w:szCs w:val="24"/>
        </w:rPr>
        <w:t>2、建筑设计服务内容</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2.1</w:t>
      </w:r>
      <w:r w:rsidRPr="00546BFE">
        <w:rPr>
          <w:rFonts w:ascii="宋体" w:eastAsia="宋体" w:hAnsi="宋体" w:cs="宋体" w:hint="eastAsia"/>
          <w:color w:val="3E3E3E"/>
          <w:kern w:val="0"/>
          <w:szCs w:val="21"/>
        </w:rPr>
        <w:t xml:space="preserve"> 本《计费指导》涉及的建筑设计服务内容包括设计基本服务与设计其他服务。</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 xml:space="preserve">2.2 </w:t>
      </w:r>
      <w:r w:rsidRPr="00546BFE">
        <w:rPr>
          <w:rFonts w:ascii="宋体" w:eastAsia="宋体" w:hAnsi="宋体" w:cs="宋体" w:hint="eastAsia"/>
          <w:color w:val="3E3E3E"/>
          <w:kern w:val="0"/>
          <w:szCs w:val="21"/>
        </w:rPr>
        <w:t>“设计基本服务”指设计人根据发包人的委托，按国家法律、技术规范和设计深度要求向发包人提供编制方案设计、初步设计（含初步设计概算）、施工图设计（不含编制工程量清单及施工图预算）文件服务，并相应提供设计技术交底、解决施工中的设计技术问题、参加竣工验收服务。其服务计费为“设计基本计费”。</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2.3</w:t>
      </w:r>
      <w:r w:rsidRPr="00546BFE">
        <w:rPr>
          <w:rFonts w:ascii="宋体" w:eastAsia="宋体" w:hAnsi="宋体" w:cs="宋体" w:hint="eastAsia"/>
          <w:color w:val="3E3E3E"/>
          <w:kern w:val="0"/>
          <w:szCs w:val="21"/>
        </w:rPr>
        <w:t xml:space="preserve"> “设计其他服务”是指发包人要求设计人另行提供且发包人应当单独支付费用的服务，包括：总体设计、主体设计协调（包括设计总包服务）、采用绿色建筑设计、应用BIM技术、采用被动式节能建筑设计、采用预制装配式建筑设计、编制施工招标技术文件、编制工程量清单、编制施工图预算、建设过程技术顾问咨询、编制竣工图、驻场服务；提供概念性规划方案设计、概念性建筑方案设计、建筑总平面布置或者小区规划方案设计、绿色建筑设计标识评价咨询服务；提供室内装修设计、建筑智能化系统设计、幕墙深化设计、特殊照明设计、钢结构深化设计、金属屋面设计、风景园林景观设计、特殊声学设计、室外工程设计、地（水）源热泵设计等服务。其服务计费为“设计其他服务计费”。</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 w:val="24"/>
          <w:szCs w:val="24"/>
        </w:rPr>
        <w:t>3、建筑设计服务计费</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 xml:space="preserve">3.1 </w:t>
      </w:r>
      <w:r w:rsidRPr="00546BFE">
        <w:rPr>
          <w:rFonts w:ascii="宋体" w:eastAsia="宋体" w:hAnsi="宋体" w:cs="宋体" w:hint="eastAsia"/>
          <w:color w:val="3E3E3E"/>
          <w:kern w:val="0"/>
          <w:szCs w:val="21"/>
        </w:rPr>
        <w:t>设计服务计费是指设计人根据发包人的委托内容和要求，提供设计基本服务与设计其他服务应计取的费用。</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设计服务计费按照下列公式计算：</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设计服务计费=设计基本计费+设计其他服务计费</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 xml:space="preserve">3.2 </w:t>
      </w:r>
      <w:r w:rsidRPr="00546BFE">
        <w:rPr>
          <w:rFonts w:ascii="宋体" w:eastAsia="宋体" w:hAnsi="宋体" w:cs="宋体" w:hint="eastAsia"/>
          <w:color w:val="3E3E3E"/>
          <w:kern w:val="0"/>
          <w:szCs w:val="21"/>
        </w:rPr>
        <w:t>设计服务可采用以投资费率方式计费，也可在部分项目上以投资费率为参照，采用单位建筑面积方式计费或以工日定额方式计费，具体由发包人与设计人协商确定。</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3.3</w:t>
      </w:r>
      <w:r w:rsidRPr="00546BFE">
        <w:rPr>
          <w:rFonts w:ascii="宋体" w:eastAsia="宋体" w:hAnsi="宋体" w:cs="宋体" w:hint="eastAsia"/>
          <w:color w:val="3E3E3E"/>
          <w:kern w:val="0"/>
          <w:szCs w:val="21"/>
        </w:rPr>
        <w:t xml:space="preserve"> 按投资费率计费方式计费时，设计计费的</w:t>
      </w:r>
      <w:proofErr w:type="gramStart"/>
      <w:r w:rsidRPr="00546BFE">
        <w:rPr>
          <w:rFonts w:ascii="宋体" w:eastAsia="宋体" w:hAnsi="宋体" w:cs="宋体" w:hint="eastAsia"/>
          <w:color w:val="3E3E3E"/>
          <w:kern w:val="0"/>
          <w:szCs w:val="21"/>
        </w:rPr>
        <w:t>“</w:t>
      </w:r>
      <w:proofErr w:type="gramEnd"/>
      <w:r w:rsidRPr="00546BFE">
        <w:rPr>
          <w:rFonts w:ascii="宋体" w:eastAsia="宋体" w:hAnsi="宋体" w:cs="宋体" w:hint="eastAsia"/>
          <w:color w:val="3E3E3E"/>
          <w:kern w:val="0"/>
          <w:szCs w:val="21"/>
        </w:rPr>
        <w:t>计费额</w:t>
      </w:r>
      <w:proofErr w:type="gramStart"/>
      <w:r w:rsidRPr="00546BFE">
        <w:rPr>
          <w:rFonts w:ascii="宋体" w:eastAsia="宋体" w:hAnsi="宋体" w:cs="宋体" w:hint="eastAsia"/>
          <w:color w:val="3E3E3E"/>
          <w:kern w:val="0"/>
          <w:szCs w:val="21"/>
        </w:rPr>
        <w:t>“</w:t>
      </w:r>
      <w:proofErr w:type="gramEnd"/>
      <w:r w:rsidRPr="00546BFE">
        <w:rPr>
          <w:rFonts w:ascii="宋体" w:eastAsia="宋体" w:hAnsi="宋体" w:cs="宋体" w:hint="eastAsia"/>
          <w:color w:val="3E3E3E"/>
          <w:kern w:val="0"/>
          <w:szCs w:val="21"/>
        </w:rPr>
        <w:t>，可先按照批准的项目建议书或可行性研究报告投资估算中建筑安装工程费用计取，无投资估算的参照当地同期同类同规模工程项目的经验建筑安装工程费用计取。按估算“计费额”计取的设计费</w:t>
      </w:r>
      <w:proofErr w:type="gramStart"/>
      <w:r w:rsidRPr="00546BFE">
        <w:rPr>
          <w:rFonts w:ascii="宋体" w:eastAsia="宋体" w:hAnsi="宋体" w:cs="宋体" w:hint="eastAsia"/>
          <w:color w:val="3E3E3E"/>
          <w:kern w:val="0"/>
          <w:szCs w:val="21"/>
        </w:rPr>
        <w:t>为暂估设计</w:t>
      </w:r>
      <w:proofErr w:type="gramEnd"/>
      <w:r w:rsidRPr="00546BFE">
        <w:rPr>
          <w:rFonts w:ascii="宋体" w:eastAsia="宋体" w:hAnsi="宋体" w:cs="宋体" w:hint="eastAsia"/>
          <w:color w:val="3E3E3E"/>
          <w:kern w:val="0"/>
          <w:szCs w:val="21"/>
        </w:rPr>
        <w:t>计费，最终以初步设计概算中的实际“计费额”为依据确定计费。</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lastRenderedPageBreak/>
        <w:t>建筑安装工程费用包括人工费、材料费（</w:t>
      </w:r>
      <w:proofErr w:type="gramStart"/>
      <w:r w:rsidRPr="00546BFE">
        <w:rPr>
          <w:rFonts w:ascii="宋体" w:eastAsia="宋体" w:hAnsi="宋体" w:cs="宋体" w:hint="eastAsia"/>
          <w:color w:val="3E3E3E"/>
          <w:kern w:val="0"/>
          <w:szCs w:val="21"/>
        </w:rPr>
        <w:t>含工程</w:t>
      </w:r>
      <w:proofErr w:type="gramEnd"/>
      <w:r w:rsidRPr="00546BFE">
        <w:rPr>
          <w:rFonts w:ascii="宋体" w:eastAsia="宋体" w:hAnsi="宋体" w:cs="宋体" w:hint="eastAsia"/>
          <w:color w:val="3E3E3E"/>
          <w:kern w:val="0"/>
          <w:szCs w:val="21"/>
        </w:rPr>
        <w:t>设备费，即构成或计划构成永久工程部分的机电设备、金属结构设备、仪器装置及其他类似的设备和装置）、施工机具使用费（含仪器仪表使用费）、企业管理费（含检验试验费）、利润、</w:t>
      </w:r>
      <w:proofErr w:type="gramStart"/>
      <w:r w:rsidRPr="00546BFE">
        <w:rPr>
          <w:rFonts w:ascii="宋体" w:eastAsia="宋体" w:hAnsi="宋体" w:cs="宋体" w:hint="eastAsia"/>
          <w:color w:val="3E3E3E"/>
          <w:kern w:val="0"/>
          <w:szCs w:val="21"/>
        </w:rPr>
        <w:t>规</w:t>
      </w:r>
      <w:proofErr w:type="gramEnd"/>
      <w:r w:rsidRPr="00546BFE">
        <w:rPr>
          <w:rFonts w:ascii="宋体" w:eastAsia="宋体" w:hAnsi="宋体" w:cs="宋体" w:hint="eastAsia"/>
          <w:color w:val="3E3E3E"/>
          <w:kern w:val="0"/>
          <w:szCs w:val="21"/>
        </w:rPr>
        <w:t>费和税金。</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3.4</w:t>
      </w:r>
      <w:r w:rsidRPr="00546BFE">
        <w:rPr>
          <w:rFonts w:ascii="宋体" w:eastAsia="宋体" w:hAnsi="宋体" w:cs="宋体" w:hint="eastAsia"/>
          <w:color w:val="3E3E3E"/>
          <w:kern w:val="0"/>
          <w:szCs w:val="21"/>
        </w:rPr>
        <w:t xml:space="preserve"> 建筑单体中采取复用设计的，每个复用单体按照单体设计计费的30%计费；需要重新进行基础设计的，每个复用单体按照单体设计计费的40%计费。</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 w:val="24"/>
          <w:szCs w:val="24"/>
        </w:rPr>
        <w:t>4、其他说明</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4.1</w:t>
      </w:r>
      <w:r w:rsidRPr="00546BFE">
        <w:rPr>
          <w:rFonts w:ascii="宋体" w:eastAsia="宋体" w:hAnsi="宋体" w:cs="宋体" w:hint="eastAsia"/>
          <w:color w:val="3E3E3E"/>
          <w:kern w:val="0"/>
          <w:szCs w:val="21"/>
        </w:rPr>
        <w:t xml:space="preserve"> 建筑工程设计各阶段工作量比例系参照</w:t>
      </w:r>
      <w:proofErr w:type="gramStart"/>
      <w:r w:rsidRPr="00546BFE">
        <w:rPr>
          <w:rFonts w:ascii="宋体" w:eastAsia="宋体" w:hAnsi="宋体" w:cs="宋体" w:hint="eastAsia"/>
          <w:color w:val="3E3E3E"/>
          <w:kern w:val="0"/>
          <w:szCs w:val="21"/>
        </w:rPr>
        <w:t>《</w:t>
      </w:r>
      <w:proofErr w:type="gramEnd"/>
      <w:r w:rsidRPr="00546BFE">
        <w:rPr>
          <w:rFonts w:ascii="宋体" w:eastAsia="宋体" w:hAnsi="宋体" w:cs="宋体" w:hint="eastAsia"/>
          <w:color w:val="3E3E3E"/>
          <w:kern w:val="0"/>
          <w:szCs w:val="21"/>
        </w:rPr>
        <w:t>全国建筑设计劳动（工日）</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定额</w:t>
      </w:r>
      <w:proofErr w:type="gramStart"/>
      <w:r w:rsidRPr="00546BFE">
        <w:rPr>
          <w:rFonts w:ascii="宋体" w:eastAsia="宋体" w:hAnsi="宋体" w:cs="宋体" w:hint="eastAsia"/>
          <w:color w:val="3E3E3E"/>
          <w:kern w:val="0"/>
          <w:szCs w:val="21"/>
        </w:rPr>
        <w:t>》</w:t>
      </w:r>
      <w:proofErr w:type="gramEnd"/>
      <w:r w:rsidRPr="00546BFE">
        <w:rPr>
          <w:rFonts w:ascii="宋体" w:eastAsia="宋体" w:hAnsi="宋体" w:cs="宋体" w:hint="eastAsia"/>
          <w:color w:val="3E3E3E"/>
          <w:kern w:val="0"/>
          <w:szCs w:val="21"/>
        </w:rPr>
        <w:t>（住房和城乡建设部颁发），详见附表</w:t>
      </w:r>
      <w:proofErr w:type="gramStart"/>
      <w:r w:rsidRPr="00546BFE">
        <w:rPr>
          <w:rFonts w:ascii="宋体" w:eastAsia="宋体" w:hAnsi="宋体" w:cs="宋体" w:hint="eastAsia"/>
          <w:color w:val="3E3E3E"/>
          <w:kern w:val="0"/>
          <w:szCs w:val="21"/>
        </w:rPr>
        <w:t>一</w:t>
      </w:r>
      <w:proofErr w:type="gramEnd"/>
      <w:r w:rsidRPr="00546BFE">
        <w:rPr>
          <w:rFonts w:ascii="宋体" w:eastAsia="宋体" w:hAnsi="宋体" w:cs="宋体" w:hint="eastAsia"/>
          <w:color w:val="3E3E3E"/>
          <w:kern w:val="0"/>
          <w:szCs w:val="21"/>
        </w:rPr>
        <w:t>《设计各阶段工作量分配参考比例表》。</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 xml:space="preserve">4.2 </w:t>
      </w:r>
      <w:r w:rsidRPr="00546BFE">
        <w:rPr>
          <w:rFonts w:ascii="宋体" w:eastAsia="宋体" w:hAnsi="宋体" w:cs="宋体" w:hint="eastAsia"/>
          <w:color w:val="3E3E3E"/>
          <w:kern w:val="0"/>
          <w:szCs w:val="21"/>
        </w:rPr>
        <w:t>发包人提供境外设计人提交的设计文件，需要设计人按照国家标准规范审核并签署确认意见的，按照实际发生的工作量，由发包人与设计人协商确定增加的审核确认费。</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 xml:space="preserve">4.3 </w:t>
      </w:r>
      <w:r w:rsidRPr="00546BFE">
        <w:rPr>
          <w:rFonts w:ascii="宋体" w:eastAsia="宋体" w:hAnsi="宋体" w:cs="宋体" w:hint="eastAsia"/>
          <w:color w:val="3E3E3E"/>
          <w:kern w:val="0"/>
          <w:szCs w:val="21"/>
        </w:rPr>
        <w:t>除另有约定外，设计人所编制的设计文件的著作权属于设计人。发包人可因实施工程的运行、调试、维修、改造等目的而复制、使用文件，但不能擅自修改或用于与设计合同无关的其他事项，并不得为合同以外的目的而复制、使用并提供给任何第三方。</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微软雅黑" w:eastAsia="微软雅黑" w:hAnsi="微软雅黑" w:cs="宋体" w:hint="eastAsia"/>
          <w:b/>
          <w:bCs/>
          <w:color w:val="FF2941"/>
          <w:kern w:val="0"/>
          <w:sz w:val="24"/>
          <w:szCs w:val="24"/>
        </w:rPr>
        <w:t>第二章 设计基本服务计费</w:t>
      </w:r>
    </w:p>
    <w:p w:rsidR="00546BFE" w:rsidRDefault="00546BFE" w:rsidP="00546BFE">
      <w:pPr>
        <w:widowControl/>
        <w:spacing w:line="360"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设计基本服务计费包括投资费率计费方式、单位建筑面积计费方式和工日定额计费等方式，由发包人与设计人协商确定。</w:t>
      </w:r>
      <w:r w:rsidRPr="00546BFE">
        <w:rPr>
          <w:rFonts w:ascii="宋体" w:eastAsia="宋体" w:hAnsi="宋体" w:cs="宋体" w:hint="eastAsia"/>
          <w:color w:val="3E3E3E"/>
          <w:kern w:val="0"/>
          <w:szCs w:val="21"/>
        </w:rPr>
        <w:br/>
      </w:r>
    </w:p>
    <w:p w:rsidR="00546BFE" w:rsidRPr="00546BFE" w:rsidRDefault="00546BFE" w:rsidP="00546BFE">
      <w:pPr>
        <w:widowControl/>
        <w:spacing w:line="360"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 w:val="24"/>
          <w:szCs w:val="24"/>
        </w:rPr>
        <w:t>1、投资费率计费方式</w:t>
      </w:r>
    </w:p>
    <w:p w:rsidR="00546BFE" w:rsidRPr="00546BFE" w:rsidRDefault="00546BFE" w:rsidP="00546BFE">
      <w:pPr>
        <w:widowControl/>
        <w:spacing w:line="360"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1.1</w:t>
      </w:r>
      <w:r w:rsidRPr="00546BFE">
        <w:rPr>
          <w:rFonts w:ascii="宋体" w:eastAsia="宋体" w:hAnsi="宋体" w:cs="宋体" w:hint="eastAsia"/>
          <w:color w:val="3E3E3E"/>
          <w:kern w:val="0"/>
          <w:szCs w:val="21"/>
        </w:rPr>
        <w:t xml:space="preserve"> 投资费率计费采取按照建设项目建筑安装工程费用（</w:t>
      </w:r>
      <w:proofErr w:type="gramStart"/>
      <w:r w:rsidRPr="00546BFE">
        <w:rPr>
          <w:rFonts w:ascii="宋体" w:eastAsia="宋体" w:hAnsi="宋体" w:cs="宋体" w:hint="eastAsia"/>
          <w:color w:val="3E3E3E"/>
          <w:kern w:val="0"/>
          <w:szCs w:val="21"/>
        </w:rPr>
        <w:t>“</w:t>
      </w:r>
      <w:proofErr w:type="gramEnd"/>
      <w:r w:rsidRPr="00546BFE">
        <w:rPr>
          <w:rFonts w:ascii="宋体" w:eastAsia="宋体" w:hAnsi="宋体" w:cs="宋体" w:hint="eastAsia"/>
          <w:color w:val="3E3E3E"/>
          <w:kern w:val="0"/>
          <w:szCs w:val="21"/>
        </w:rPr>
        <w:t>计费额“）分档定额计取。</w:t>
      </w:r>
    </w:p>
    <w:p w:rsidR="00546BFE" w:rsidRPr="00546BFE" w:rsidRDefault="00546BFE" w:rsidP="00546BFE">
      <w:pPr>
        <w:widowControl/>
        <w:spacing w:line="360"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 xml:space="preserve">1.2 </w:t>
      </w:r>
      <w:r w:rsidRPr="00546BFE">
        <w:rPr>
          <w:rFonts w:ascii="宋体" w:eastAsia="宋体" w:hAnsi="宋体" w:cs="宋体" w:hint="eastAsia"/>
          <w:color w:val="3E3E3E"/>
          <w:kern w:val="0"/>
          <w:szCs w:val="21"/>
        </w:rPr>
        <w:t>投资费率计费按照下列公式计算：</w:t>
      </w:r>
    </w:p>
    <w:p w:rsidR="00546BFE" w:rsidRPr="00546BFE" w:rsidRDefault="00546BFE" w:rsidP="00546BFE">
      <w:pPr>
        <w:widowControl/>
        <w:spacing w:line="360"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设计基本服务计费 =计费基价×工程复杂程度调整系数</w:t>
      </w:r>
    </w:p>
    <w:p w:rsidR="00546BFE" w:rsidRPr="00546BFE" w:rsidRDefault="00546BFE" w:rsidP="00546BFE">
      <w:pPr>
        <w:widowControl/>
        <w:spacing w:line="360"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 w:val="18"/>
          <w:szCs w:val="18"/>
        </w:rPr>
        <w:t>注：计费基价详见附表二《计费基价表》，计费</w:t>
      </w:r>
      <w:proofErr w:type="gramStart"/>
      <w:r w:rsidRPr="00546BFE">
        <w:rPr>
          <w:rFonts w:ascii="宋体" w:eastAsia="宋体" w:hAnsi="宋体" w:cs="宋体" w:hint="eastAsia"/>
          <w:color w:val="3E3E3E"/>
          <w:kern w:val="0"/>
          <w:sz w:val="18"/>
          <w:szCs w:val="18"/>
        </w:rPr>
        <w:t>额处于</w:t>
      </w:r>
      <w:proofErr w:type="gramEnd"/>
      <w:r w:rsidRPr="00546BFE">
        <w:rPr>
          <w:rFonts w:ascii="宋体" w:eastAsia="宋体" w:hAnsi="宋体" w:cs="宋体" w:hint="eastAsia"/>
          <w:color w:val="3E3E3E"/>
          <w:kern w:val="0"/>
          <w:sz w:val="18"/>
          <w:szCs w:val="18"/>
        </w:rPr>
        <w:t>两个数值区间的，采用内插法确定设计计费基价；工程复杂程度调整系数详见附表三《工程复杂程度调整系数表》</w:t>
      </w:r>
    </w:p>
    <w:p w:rsidR="00546BFE" w:rsidRPr="00546BFE" w:rsidRDefault="00546BFE" w:rsidP="00546BFE">
      <w:pPr>
        <w:widowControl/>
        <w:spacing w:line="360"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 w:val="24"/>
          <w:szCs w:val="24"/>
        </w:rPr>
        <w:lastRenderedPageBreak/>
        <w:t>2、单位建筑面积计费方式</w:t>
      </w:r>
    </w:p>
    <w:p w:rsidR="00546BFE" w:rsidRPr="00546BFE" w:rsidRDefault="00546BFE" w:rsidP="00546BFE">
      <w:pPr>
        <w:widowControl/>
        <w:spacing w:line="360"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部分项目可采用单位建筑面积方式计费，详见附表四《部分项目单位建筑面积计费表》</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 w:val="24"/>
          <w:szCs w:val="24"/>
        </w:rPr>
        <w:t>3、工日定额计费方式</w:t>
      </w:r>
    </w:p>
    <w:p w:rsidR="00546BFE" w:rsidRPr="00546BFE" w:rsidRDefault="00546BFE" w:rsidP="00546BFE">
      <w:pPr>
        <w:widowControl/>
        <w:spacing w:line="360"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项目采用工日定额方式计费，按以下公式计算：</w:t>
      </w:r>
    </w:p>
    <w:p w:rsidR="00546BFE" w:rsidRPr="00546BFE" w:rsidRDefault="00546BFE" w:rsidP="00546BFE">
      <w:pPr>
        <w:widowControl/>
        <w:spacing w:line="360"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工日定额计费=专家等级相应工日费用×（定额工日÷0.95÷0.85+辅助工日）</w:t>
      </w:r>
    </w:p>
    <w:p w:rsidR="00546BFE" w:rsidRPr="00546BFE" w:rsidRDefault="00546BFE" w:rsidP="00546BFE">
      <w:pPr>
        <w:widowControl/>
        <w:spacing w:line="360"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注1：专家等级相应工日费用详见附表五《工程咨询服务工日费用表》</w:t>
      </w:r>
    </w:p>
    <w:p w:rsidR="00546BFE" w:rsidRPr="00546BFE" w:rsidRDefault="00546BFE" w:rsidP="00546BFE">
      <w:pPr>
        <w:widowControl/>
        <w:spacing w:line="360"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 w:val="18"/>
          <w:szCs w:val="18"/>
        </w:rPr>
        <w:t>注2：定额工日、相应系数、辅助工日参见《全国建筑设计劳动（工日）定额》（住房和城乡建设部颁发）</w:t>
      </w:r>
    </w:p>
    <w:p w:rsidR="00546BFE" w:rsidRPr="00546BFE" w:rsidRDefault="00546BFE" w:rsidP="00546BFE">
      <w:pPr>
        <w:widowControl/>
        <w:spacing w:line="360" w:lineRule="atLeast"/>
        <w:jc w:val="left"/>
        <w:rPr>
          <w:rFonts w:ascii="微软雅黑" w:eastAsia="微软雅黑" w:hAnsi="微软雅黑" w:cs="宋体" w:hint="eastAsia"/>
          <w:color w:val="3E3E3E"/>
          <w:kern w:val="0"/>
          <w:sz w:val="24"/>
          <w:szCs w:val="24"/>
        </w:rPr>
      </w:pP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微软雅黑" w:eastAsia="微软雅黑" w:hAnsi="微软雅黑" w:cs="宋体" w:hint="eastAsia"/>
          <w:b/>
          <w:bCs/>
          <w:color w:val="FF2941"/>
          <w:kern w:val="0"/>
          <w:sz w:val="24"/>
          <w:szCs w:val="24"/>
        </w:rPr>
        <w:t>第三章 设计其他服务计费</w:t>
      </w:r>
    </w:p>
    <w:p w:rsidR="00546BFE" w:rsidRPr="00546BFE" w:rsidRDefault="00546BFE" w:rsidP="00546BFE">
      <w:pPr>
        <w:widowControl/>
        <w:spacing w:line="360"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设计其他服务包括的内容见第一章2.3条款所述，其计费详见附表六《设计其他服务计费表（Ⅰ）》、</w:t>
      </w:r>
      <w:proofErr w:type="gramStart"/>
      <w:r w:rsidRPr="00546BFE">
        <w:rPr>
          <w:rFonts w:ascii="宋体" w:eastAsia="宋体" w:hAnsi="宋体" w:cs="宋体" w:hint="eastAsia"/>
          <w:color w:val="3E3E3E"/>
          <w:kern w:val="0"/>
          <w:szCs w:val="21"/>
        </w:rPr>
        <w:t>附表七</w:t>
      </w:r>
      <w:proofErr w:type="gramEnd"/>
      <w:r w:rsidRPr="00546BFE">
        <w:rPr>
          <w:rFonts w:ascii="宋体" w:eastAsia="宋体" w:hAnsi="宋体" w:cs="宋体" w:hint="eastAsia"/>
          <w:color w:val="3E3E3E"/>
          <w:kern w:val="0"/>
          <w:szCs w:val="21"/>
        </w:rPr>
        <w:t>《设计其他服务计费表（Ⅱ）》及附表八《设计其他服务计费表（Ⅲ）》。第一章2.3条款未涉及的设计其他服务内容的计费可比照附表六、七、八执行。</w:t>
      </w:r>
    </w:p>
    <w:p w:rsidR="00546BFE" w:rsidRDefault="00546BFE" w:rsidP="00546BFE">
      <w:pPr>
        <w:widowControl/>
        <w:spacing w:line="349" w:lineRule="atLeast"/>
        <w:jc w:val="left"/>
        <w:rPr>
          <w:rFonts w:ascii="微软雅黑" w:eastAsia="微软雅黑" w:hAnsi="微软雅黑" w:cs="宋体" w:hint="eastAsia"/>
          <w:b/>
          <w:bCs/>
          <w:color w:val="FF2941"/>
          <w:kern w:val="0"/>
          <w:sz w:val="24"/>
          <w:szCs w:val="24"/>
        </w:rPr>
      </w:pPr>
    </w:p>
    <w:p w:rsidR="00546BFE" w:rsidRDefault="00546BFE" w:rsidP="00546BFE">
      <w:pPr>
        <w:widowControl/>
        <w:spacing w:line="349" w:lineRule="atLeast"/>
        <w:jc w:val="left"/>
        <w:rPr>
          <w:rFonts w:ascii="微软雅黑" w:eastAsia="微软雅黑" w:hAnsi="微软雅黑" w:cs="宋体" w:hint="eastAsia"/>
          <w:b/>
          <w:bCs/>
          <w:color w:val="FF2941"/>
          <w:kern w:val="0"/>
          <w:sz w:val="24"/>
          <w:szCs w:val="24"/>
        </w:rPr>
      </w:pPr>
    </w:p>
    <w:p w:rsidR="00546BFE" w:rsidRDefault="00546BFE" w:rsidP="00546BFE">
      <w:pPr>
        <w:widowControl/>
        <w:spacing w:line="349" w:lineRule="atLeast"/>
        <w:jc w:val="left"/>
        <w:rPr>
          <w:rFonts w:ascii="微软雅黑" w:eastAsia="微软雅黑" w:hAnsi="微软雅黑" w:cs="宋体" w:hint="eastAsia"/>
          <w:b/>
          <w:bCs/>
          <w:color w:val="FF2941"/>
          <w:kern w:val="0"/>
          <w:sz w:val="24"/>
          <w:szCs w:val="24"/>
        </w:rPr>
      </w:pPr>
    </w:p>
    <w:p w:rsidR="00546BFE" w:rsidRDefault="00546BFE" w:rsidP="00546BFE">
      <w:pPr>
        <w:widowControl/>
        <w:spacing w:line="349" w:lineRule="atLeast"/>
        <w:jc w:val="left"/>
        <w:rPr>
          <w:rFonts w:ascii="微软雅黑" w:eastAsia="微软雅黑" w:hAnsi="微软雅黑" w:cs="宋体" w:hint="eastAsia"/>
          <w:b/>
          <w:bCs/>
          <w:color w:val="FF2941"/>
          <w:kern w:val="0"/>
          <w:sz w:val="24"/>
          <w:szCs w:val="24"/>
        </w:rPr>
      </w:pPr>
    </w:p>
    <w:p w:rsidR="00546BFE" w:rsidRDefault="00546BFE" w:rsidP="00546BFE">
      <w:pPr>
        <w:widowControl/>
        <w:spacing w:line="349" w:lineRule="atLeast"/>
        <w:jc w:val="left"/>
        <w:rPr>
          <w:rFonts w:ascii="微软雅黑" w:eastAsia="微软雅黑" w:hAnsi="微软雅黑" w:cs="宋体" w:hint="eastAsia"/>
          <w:b/>
          <w:bCs/>
          <w:color w:val="FF2941"/>
          <w:kern w:val="0"/>
          <w:sz w:val="24"/>
          <w:szCs w:val="24"/>
        </w:rPr>
      </w:pP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微软雅黑" w:eastAsia="微软雅黑" w:hAnsi="微软雅黑" w:cs="宋体" w:hint="eastAsia"/>
          <w:b/>
          <w:bCs/>
          <w:color w:val="FF2941"/>
          <w:kern w:val="0"/>
          <w:sz w:val="24"/>
          <w:szCs w:val="24"/>
        </w:rPr>
        <w:lastRenderedPageBreak/>
        <w:t>第四章 附 表</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附表</w:t>
      </w:r>
      <w:proofErr w:type="gramStart"/>
      <w:r w:rsidRPr="00546BFE">
        <w:rPr>
          <w:rFonts w:ascii="宋体" w:eastAsia="宋体" w:hAnsi="宋体" w:cs="宋体" w:hint="eastAsia"/>
          <w:b/>
          <w:bCs/>
          <w:color w:val="3E3E3E"/>
          <w:kern w:val="0"/>
          <w:szCs w:val="21"/>
        </w:rPr>
        <w:t>一</w:t>
      </w:r>
      <w:proofErr w:type="gramEnd"/>
      <w:r w:rsidRPr="00546BFE">
        <w:rPr>
          <w:rFonts w:ascii="宋体" w:eastAsia="宋体" w:hAnsi="宋体" w:cs="宋体" w:hint="eastAsia"/>
          <w:b/>
          <w:bCs/>
          <w:color w:val="3E3E3E"/>
          <w:kern w:val="0"/>
          <w:szCs w:val="21"/>
        </w:rPr>
        <w:t>：设计各阶段工作量分配参考比例表（%）</w:t>
      </w:r>
    </w:p>
    <w:tbl>
      <w:tblPr>
        <w:tblW w:w="7193" w:type="dxa"/>
        <w:tblCellMar>
          <w:left w:w="0" w:type="dxa"/>
          <w:right w:w="0" w:type="dxa"/>
        </w:tblCellMar>
        <w:tblLook w:val="04A0" w:firstRow="1" w:lastRow="0" w:firstColumn="1" w:lastColumn="0" w:noHBand="0" w:noVBand="1"/>
      </w:tblPr>
      <w:tblGrid>
        <w:gridCol w:w="1948"/>
        <w:gridCol w:w="1418"/>
        <w:gridCol w:w="1275"/>
        <w:gridCol w:w="1134"/>
        <w:gridCol w:w="1418"/>
      </w:tblGrid>
      <w:tr w:rsidR="00546BFE" w:rsidRPr="00546BFE" w:rsidTr="00546BFE">
        <w:trPr>
          <w:trHeight w:val="995"/>
        </w:trPr>
        <w:tc>
          <w:tcPr>
            <w:tcW w:w="194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14:anchorId="275A58CE" wp14:editId="500DAF8D">
                  <wp:extent cx="866775" cy="866775"/>
                  <wp:effectExtent l="0" t="0" r="0" b="0"/>
                  <wp:docPr id="2" name="图片 2" descr="http://res.wx.qq.com/mpres/htmledition/ueditor/themes/default/images/spacer.gif?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s.wx.qq.com/mpres/htmledition/ueditor/themes/default/images/spacer.gif?wx_lazy=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141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简 单</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proofErr w:type="gramStart"/>
            <w:r w:rsidRPr="00546BFE">
              <w:rPr>
                <w:rFonts w:ascii="宋体" w:eastAsia="宋体" w:hAnsi="宋体" w:cs="宋体" w:hint="eastAsia"/>
                <w:kern w:val="0"/>
                <w:szCs w:val="21"/>
              </w:rPr>
              <w:t>一</w:t>
            </w:r>
            <w:proofErr w:type="gramEnd"/>
            <w:r w:rsidRPr="00546BFE">
              <w:rPr>
                <w:rFonts w:ascii="宋体" w:eastAsia="宋体" w:hAnsi="宋体" w:cs="宋体" w:hint="eastAsia"/>
                <w:kern w:val="0"/>
                <w:szCs w:val="21"/>
              </w:rPr>
              <w:t xml:space="preserve"> 般</w:t>
            </w:r>
          </w:p>
        </w:tc>
        <w:tc>
          <w:tcPr>
            <w:tcW w:w="113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复 杂</w:t>
            </w:r>
          </w:p>
        </w:tc>
        <w:tc>
          <w:tcPr>
            <w:tcW w:w="141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特别复杂</w:t>
            </w:r>
          </w:p>
        </w:tc>
      </w:tr>
      <w:tr w:rsidR="00546BFE" w:rsidRPr="00546BFE" w:rsidTr="00546BFE">
        <w:trPr>
          <w:trHeight w:val="407"/>
        </w:trPr>
        <w:tc>
          <w:tcPr>
            <w:tcW w:w="194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方案阶段</w:t>
            </w:r>
          </w:p>
        </w:tc>
        <w:tc>
          <w:tcPr>
            <w:tcW w:w="1418"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15</w:t>
            </w:r>
          </w:p>
        </w:tc>
        <w:tc>
          <w:tcPr>
            <w:tcW w:w="1275"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20</w:t>
            </w:r>
          </w:p>
        </w:tc>
        <w:tc>
          <w:tcPr>
            <w:tcW w:w="1134"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25</w:t>
            </w:r>
          </w:p>
        </w:tc>
        <w:tc>
          <w:tcPr>
            <w:tcW w:w="1418"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25</w:t>
            </w:r>
          </w:p>
        </w:tc>
      </w:tr>
      <w:tr w:rsidR="00546BFE" w:rsidRPr="00546BFE" w:rsidTr="00546BFE">
        <w:trPr>
          <w:trHeight w:val="414"/>
        </w:trPr>
        <w:tc>
          <w:tcPr>
            <w:tcW w:w="194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初步设计阶段</w:t>
            </w:r>
          </w:p>
        </w:tc>
        <w:tc>
          <w:tcPr>
            <w:tcW w:w="1418"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18.2</w:t>
            </w:r>
          </w:p>
        </w:tc>
        <w:tc>
          <w:tcPr>
            <w:tcW w:w="1275"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19.9</w:t>
            </w:r>
          </w:p>
        </w:tc>
        <w:tc>
          <w:tcPr>
            <w:tcW w:w="1134"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20.4</w:t>
            </w:r>
          </w:p>
        </w:tc>
        <w:tc>
          <w:tcPr>
            <w:tcW w:w="1418"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21.7</w:t>
            </w:r>
          </w:p>
        </w:tc>
      </w:tr>
      <w:tr w:rsidR="00546BFE" w:rsidRPr="00546BFE" w:rsidTr="00546BFE">
        <w:trPr>
          <w:trHeight w:val="263"/>
        </w:trPr>
        <w:tc>
          <w:tcPr>
            <w:tcW w:w="194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施工图设计阶段</w:t>
            </w:r>
          </w:p>
        </w:tc>
        <w:tc>
          <w:tcPr>
            <w:tcW w:w="1418"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59.3</w:t>
            </w:r>
          </w:p>
        </w:tc>
        <w:tc>
          <w:tcPr>
            <w:tcW w:w="1275"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52.4</w:t>
            </w:r>
          </w:p>
        </w:tc>
        <w:tc>
          <w:tcPr>
            <w:tcW w:w="1134"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46.9</w:t>
            </w:r>
          </w:p>
        </w:tc>
        <w:tc>
          <w:tcPr>
            <w:tcW w:w="1418"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45.1</w:t>
            </w:r>
          </w:p>
        </w:tc>
      </w:tr>
      <w:tr w:rsidR="00546BFE" w:rsidRPr="00546BFE" w:rsidTr="00546BFE">
        <w:trPr>
          <w:trHeight w:val="381"/>
        </w:trPr>
        <w:tc>
          <w:tcPr>
            <w:tcW w:w="194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施工配合阶段</w:t>
            </w:r>
          </w:p>
        </w:tc>
        <w:tc>
          <w:tcPr>
            <w:tcW w:w="1418"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7.5</w:t>
            </w:r>
          </w:p>
        </w:tc>
        <w:tc>
          <w:tcPr>
            <w:tcW w:w="1275"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7.7</w:t>
            </w:r>
          </w:p>
        </w:tc>
        <w:tc>
          <w:tcPr>
            <w:tcW w:w="1134"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7.7</w:t>
            </w:r>
          </w:p>
        </w:tc>
        <w:tc>
          <w:tcPr>
            <w:tcW w:w="1418"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8.2</w:t>
            </w:r>
          </w:p>
        </w:tc>
      </w:tr>
      <w:tr w:rsidR="00546BFE" w:rsidRPr="00546BFE" w:rsidTr="00546BFE">
        <w:trPr>
          <w:trHeight w:val="260"/>
        </w:trPr>
        <w:tc>
          <w:tcPr>
            <w:tcW w:w="1948"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合计</w:t>
            </w:r>
          </w:p>
        </w:tc>
        <w:tc>
          <w:tcPr>
            <w:tcW w:w="1418"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100</w:t>
            </w:r>
          </w:p>
        </w:tc>
        <w:tc>
          <w:tcPr>
            <w:tcW w:w="1275"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100</w:t>
            </w:r>
          </w:p>
        </w:tc>
        <w:tc>
          <w:tcPr>
            <w:tcW w:w="1134"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100</w:t>
            </w:r>
          </w:p>
        </w:tc>
        <w:tc>
          <w:tcPr>
            <w:tcW w:w="1418" w:type="dxa"/>
            <w:tcBorders>
              <w:top w:val="nil"/>
              <w:left w:val="nil"/>
              <w:bottom w:val="single" w:sz="6" w:space="0" w:color="auto"/>
              <w:right w:val="single" w:sz="6" w:space="0" w:color="auto"/>
            </w:tcBorders>
            <w:tcMar>
              <w:top w:w="0" w:type="dxa"/>
              <w:left w:w="105" w:type="dxa"/>
              <w:bottom w:w="0" w:type="dxa"/>
              <w:right w:w="105" w:type="dxa"/>
            </w:tcMa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100</w:t>
            </w:r>
          </w:p>
        </w:tc>
      </w:tr>
    </w:tbl>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附表二：计费基价表</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单位：万元</w:t>
      </w:r>
    </w:p>
    <w:tbl>
      <w:tblPr>
        <w:tblW w:w="4641" w:type="dxa"/>
        <w:tblCellMar>
          <w:left w:w="0" w:type="dxa"/>
          <w:right w:w="0" w:type="dxa"/>
        </w:tblCellMar>
        <w:tblLook w:val="04A0" w:firstRow="1" w:lastRow="0" w:firstColumn="1" w:lastColumn="0" w:noHBand="0" w:noVBand="1"/>
      </w:tblPr>
      <w:tblGrid>
        <w:gridCol w:w="1239"/>
        <w:gridCol w:w="1418"/>
        <w:gridCol w:w="1984"/>
      </w:tblGrid>
      <w:tr w:rsidR="00546BFE" w:rsidRPr="00546BFE" w:rsidTr="00546BFE">
        <w:tc>
          <w:tcPr>
            <w:tcW w:w="12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序号</w:t>
            </w:r>
          </w:p>
        </w:tc>
        <w:tc>
          <w:tcPr>
            <w:tcW w:w="1418"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计费额</w:t>
            </w:r>
          </w:p>
        </w:tc>
        <w:tc>
          <w:tcPr>
            <w:tcW w:w="1984"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计费基价</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9.0</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500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20.9</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3</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38.8</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4</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3000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103.8</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5</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5000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163.9</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6</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8000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249.6</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lastRenderedPageBreak/>
              <w:t>7</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10000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304.8</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8</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20000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566.8</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9</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40000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1054.0</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60000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1515.2</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11</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80000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1960.1</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12</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100000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2393.4</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13</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200000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4450.8</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14</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400000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8276.7</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15</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600000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11897.5</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16</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800000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15391.4</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17</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1000000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18793.8</w:t>
            </w:r>
          </w:p>
        </w:tc>
      </w:tr>
      <w:tr w:rsidR="00546BFE" w:rsidRPr="00546BFE" w:rsidTr="00546BFE">
        <w:tc>
          <w:tcPr>
            <w:tcW w:w="123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18</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2000000</w:t>
            </w:r>
          </w:p>
        </w:tc>
        <w:tc>
          <w:tcPr>
            <w:tcW w:w="198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34948.9</w:t>
            </w:r>
          </w:p>
        </w:tc>
      </w:tr>
    </w:tbl>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 w:val="18"/>
          <w:szCs w:val="18"/>
        </w:rPr>
        <w:t>注：计费额&gt;2000000万元的，以计费额乘以1.6%的计费率计算计费基价。</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附表三 工程复杂程度调整系数表</w:t>
      </w:r>
    </w:p>
    <w:tbl>
      <w:tblPr>
        <w:tblW w:w="10453" w:type="dxa"/>
        <w:tblCellMar>
          <w:left w:w="0" w:type="dxa"/>
          <w:right w:w="0" w:type="dxa"/>
        </w:tblCellMar>
        <w:tblLook w:val="04A0" w:firstRow="1" w:lastRow="0" w:firstColumn="1" w:lastColumn="0" w:noHBand="0" w:noVBand="1"/>
      </w:tblPr>
      <w:tblGrid>
        <w:gridCol w:w="692"/>
        <w:gridCol w:w="8485"/>
        <w:gridCol w:w="1276"/>
      </w:tblGrid>
      <w:tr w:rsidR="00546BFE" w:rsidRPr="00546BFE" w:rsidTr="00546BFE">
        <w:trPr>
          <w:trHeight w:val="1064"/>
        </w:trPr>
        <w:tc>
          <w:tcPr>
            <w:tcW w:w="69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复杂程度</w:t>
            </w:r>
          </w:p>
        </w:tc>
        <w:tc>
          <w:tcPr>
            <w:tcW w:w="848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工程设计条件</w:t>
            </w:r>
          </w:p>
        </w:tc>
        <w:tc>
          <w:tcPr>
            <w:tcW w:w="1276"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调整系数调</w:t>
            </w:r>
          </w:p>
        </w:tc>
      </w:tr>
      <w:tr w:rsidR="00546BFE" w:rsidRPr="00546BFE" w:rsidTr="00546BFE">
        <w:tc>
          <w:tcPr>
            <w:tcW w:w="69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简单</w:t>
            </w:r>
          </w:p>
        </w:tc>
        <w:tc>
          <w:tcPr>
            <w:tcW w:w="84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 单体建筑面积小于5000平方米（含）的小型公共建筑工程；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 建筑高度小于24米（含）的公共建筑工程；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3、 单体建筑面积小于5000平方米（含）的小型仓储物流类建筑工程。</w:t>
            </w:r>
          </w:p>
        </w:tc>
        <w:tc>
          <w:tcPr>
            <w:tcW w:w="127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0.85</w:t>
            </w:r>
          </w:p>
        </w:tc>
      </w:tr>
      <w:tr w:rsidR="00546BFE" w:rsidRPr="00546BFE" w:rsidTr="00546BFE">
        <w:tc>
          <w:tcPr>
            <w:tcW w:w="69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一般</w:t>
            </w:r>
          </w:p>
        </w:tc>
        <w:tc>
          <w:tcPr>
            <w:tcW w:w="84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 单体建筑面积大于5000平方米, 且小于20000平方米（含）的中型公共建筑工程；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 建筑高度小于27米（含）的一般标准居住建筑工程；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3、 建筑高度大于24米,且小于50米（含）的公共建筑工程；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4、 单体建筑面积大于5000平方米的大中型仓储物流类建筑工程；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5、 建筑面积小于10000平方米（含）的单建地下工程。</w:t>
            </w:r>
          </w:p>
        </w:tc>
        <w:tc>
          <w:tcPr>
            <w:tcW w:w="127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w:t>
            </w:r>
          </w:p>
        </w:tc>
      </w:tr>
      <w:tr w:rsidR="00546BFE" w:rsidRPr="00546BFE" w:rsidTr="00546BFE">
        <w:tc>
          <w:tcPr>
            <w:tcW w:w="692"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lastRenderedPageBreak/>
              <w:t>复杂</w:t>
            </w:r>
          </w:p>
        </w:tc>
        <w:tc>
          <w:tcPr>
            <w:tcW w:w="84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 功能和技术要求复杂的中小型公共建筑工程；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 建筑高度大于27米、小于100米的居住建筑工程，或27米以下高标准的居住建筑工程；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3、 单体建筑面积大于20000平方米的大型公共建筑工程；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4、 建筑高度大于50米，小于100米的公共建筑工程；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5、 建筑面积大于10000平方米, 且小于50000平方米（含）的单建筑建地下工程。</w:t>
            </w:r>
          </w:p>
        </w:tc>
        <w:tc>
          <w:tcPr>
            <w:tcW w:w="127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1.15</w:t>
            </w:r>
          </w:p>
        </w:tc>
      </w:tr>
      <w:tr w:rsidR="00546BFE" w:rsidRPr="00546BFE" w:rsidTr="00546BFE">
        <w:trPr>
          <w:trHeight w:val="4305"/>
        </w:trPr>
        <w:tc>
          <w:tcPr>
            <w:tcW w:w="692"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特别复杂</w:t>
            </w:r>
          </w:p>
        </w:tc>
        <w:tc>
          <w:tcPr>
            <w:tcW w:w="8485"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 功能和技术要求特别复杂的公共建筑工程；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 建筑高度大于100米（含）的居住或公共建筑工程；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3、 单体建筑面积大于80000平方米的超大型公共建筑工程；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4、 建筑面积大于50000平方米的单建地下工程；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5、 工艺复杂或1000床以上的医疗建筑工程；1600座以上剧院或包含两个及以上不同类型观演厅的综合文化建筑工程；5万平方米以上会议中心、航站楼、客运站；6000座以上体育馆；30000座以上体育场；超过五星级标准的酒店或度假村等公共建筑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6、 抗震设防有特殊要求的建筑工程（隔震垫、阻尼器、消能装置等）；结构超限的建筑工程；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7、 仿古建筑、宗教建筑、古建筑和保护性建筑工程；</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8、 适用于国际性活动的大型公共建筑工程；</w:t>
            </w:r>
          </w:p>
        </w:tc>
        <w:tc>
          <w:tcPr>
            <w:tcW w:w="1276" w:type="dxa"/>
            <w:tcBorders>
              <w:top w:val="nil"/>
              <w:left w:val="nil"/>
              <w:bottom w:val="single" w:sz="6" w:space="0" w:color="auto"/>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1.3</w:t>
            </w:r>
          </w:p>
        </w:tc>
      </w:tr>
      <w:tr w:rsidR="00546BFE" w:rsidRPr="00546BFE" w:rsidTr="00546BFE">
        <w:trPr>
          <w:trHeight w:val="360"/>
        </w:trPr>
        <w:tc>
          <w:tcPr>
            <w:tcW w:w="0" w:type="auto"/>
            <w:vMerge/>
            <w:tcBorders>
              <w:top w:val="nil"/>
              <w:left w:val="single" w:sz="6" w:space="0" w:color="000000"/>
              <w:bottom w:val="single" w:sz="6" w:space="0" w:color="000000"/>
              <w:right w:val="single" w:sz="6" w:space="0" w:color="000000"/>
            </w:tcBorders>
            <w:vAlign w:val="center"/>
            <w:hideMark/>
          </w:tcPr>
          <w:p w:rsidR="00546BFE" w:rsidRPr="00546BFE" w:rsidRDefault="00546BFE" w:rsidP="00546BFE">
            <w:pPr>
              <w:widowControl/>
              <w:jc w:val="left"/>
              <w:rPr>
                <w:rFonts w:ascii="宋体" w:eastAsia="宋体" w:hAnsi="宋体" w:cs="宋体"/>
                <w:kern w:val="0"/>
                <w:sz w:val="24"/>
                <w:szCs w:val="24"/>
              </w:rPr>
            </w:pPr>
          </w:p>
        </w:tc>
        <w:tc>
          <w:tcPr>
            <w:tcW w:w="84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9、 改扩建和技术改造（</w:t>
            </w:r>
            <w:proofErr w:type="gramStart"/>
            <w:r w:rsidRPr="00546BFE">
              <w:rPr>
                <w:rFonts w:ascii="宋体" w:eastAsia="宋体" w:hAnsi="宋体" w:cs="宋体" w:hint="eastAsia"/>
                <w:kern w:val="0"/>
                <w:szCs w:val="21"/>
              </w:rPr>
              <w:t>含结构</w:t>
            </w:r>
            <w:proofErr w:type="gramEnd"/>
            <w:r w:rsidRPr="00546BFE">
              <w:rPr>
                <w:rFonts w:ascii="宋体" w:eastAsia="宋体" w:hAnsi="宋体" w:cs="宋体" w:hint="eastAsia"/>
                <w:kern w:val="0"/>
                <w:szCs w:val="21"/>
              </w:rPr>
              <w:t>加固）建筑工程。</w:t>
            </w:r>
          </w:p>
        </w:tc>
        <w:tc>
          <w:tcPr>
            <w:tcW w:w="1276"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1.3 ~1.8</w:t>
            </w:r>
          </w:p>
        </w:tc>
      </w:tr>
    </w:tbl>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 w:val="18"/>
          <w:szCs w:val="18"/>
        </w:rPr>
        <w:t>注1：1上述设计均不包含相应的工艺设计内容。</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 w:val="18"/>
          <w:szCs w:val="18"/>
        </w:rPr>
        <w:t>注2：改扩建和技术改造（</w:t>
      </w:r>
      <w:proofErr w:type="gramStart"/>
      <w:r w:rsidRPr="00546BFE">
        <w:rPr>
          <w:rFonts w:ascii="宋体" w:eastAsia="宋体" w:hAnsi="宋体" w:cs="宋体" w:hint="eastAsia"/>
          <w:color w:val="3E3E3E"/>
          <w:kern w:val="0"/>
          <w:sz w:val="18"/>
          <w:szCs w:val="18"/>
        </w:rPr>
        <w:t>含结构</w:t>
      </w:r>
      <w:proofErr w:type="gramEnd"/>
      <w:r w:rsidRPr="00546BFE">
        <w:rPr>
          <w:rFonts w:ascii="宋体" w:eastAsia="宋体" w:hAnsi="宋体" w:cs="宋体" w:hint="eastAsia"/>
          <w:color w:val="3E3E3E"/>
          <w:kern w:val="0"/>
          <w:sz w:val="18"/>
          <w:szCs w:val="18"/>
        </w:rPr>
        <w:t>加固）项目以其投资额为基本设计“计费额”。</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附表四 部分项目单位建筑面积计费表</w:t>
      </w:r>
    </w:p>
    <w:tbl>
      <w:tblPr>
        <w:tblW w:w="10311" w:type="dxa"/>
        <w:tblCellMar>
          <w:left w:w="0" w:type="dxa"/>
          <w:right w:w="0" w:type="dxa"/>
        </w:tblCellMar>
        <w:tblLook w:val="04A0" w:firstRow="1" w:lastRow="0" w:firstColumn="1" w:lastColumn="0" w:noHBand="0" w:noVBand="1"/>
      </w:tblPr>
      <w:tblGrid>
        <w:gridCol w:w="1806"/>
        <w:gridCol w:w="2694"/>
        <w:gridCol w:w="1842"/>
        <w:gridCol w:w="2268"/>
        <w:gridCol w:w="1701"/>
      </w:tblGrid>
      <w:tr w:rsidR="00546BFE" w:rsidRPr="00546BFE" w:rsidTr="00546BFE">
        <w:trPr>
          <w:trHeight w:val="510"/>
        </w:trPr>
        <w:tc>
          <w:tcPr>
            <w:tcW w:w="180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lastRenderedPageBreak/>
              <w:t>项目类别</w:t>
            </w:r>
          </w:p>
        </w:tc>
        <w:tc>
          <w:tcPr>
            <w:tcW w:w="269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6层及以下</w:t>
            </w:r>
          </w:p>
        </w:tc>
        <w:tc>
          <w:tcPr>
            <w:tcW w:w="184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7~18层</w:t>
            </w:r>
          </w:p>
        </w:tc>
        <w:tc>
          <w:tcPr>
            <w:tcW w:w="226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19层~100米</w:t>
            </w:r>
          </w:p>
        </w:tc>
        <w:tc>
          <w:tcPr>
            <w:tcW w:w="170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100米以上</w:t>
            </w:r>
          </w:p>
        </w:tc>
      </w:tr>
      <w:tr w:rsidR="00546BFE" w:rsidRPr="00546BFE" w:rsidTr="00546BFE">
        <w:trPr>
          <w:trHeight w:val="510"/>
        </w:trPr>
        <w:tc>
          <w:tcPr>
            <w:tcW w:w="180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居住类建筑</w:t>
            </w:r>
            <w:r w:rsidRPr="00546BFE">
              <w:rPr>
                <w:rFonts w:ascii="宋体" w:eastAsia="宋体" w:hAnsi="宋体" w:cs="宋体" w:hint="eastAsia"/>
                <w:kern w:val="0"/>
                <w:szCs w:val="21"/>
              </w:rPr>
              <w:br/>
            </w:r>
          </w:p>
        </w:tc>
        <w:tc>
          <w:tcPr>
            <w:tcW w:w="26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20~30</w:t>
            </w:r>
          </w:p>
        </w:tc>
        <w:tc>
          <w:tcPr>
            <w:tcW w:w="18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30~40</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40~80</w:t>
            </w:r>
          </w:p>
        </w:tc>
        <w:tc>
          <w:tcPr>
            <w:tcW w:w="170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80~130</w:t>
            </w:r>
          </w:p>
        </w:tc>
      </w:tr>
      <w:tr w:rsidR="00546BFE" w:rsidRPr="00546BFE" w:rsidTr="00546BFE">
        <w:trPr>
          <w:trHeight w:val="510"/>
        </w:trPr>
        <w:tc>
          <w:tcPr>
            <w:tcW w:w="180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居住类建筑</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（别墅）</w:t>
            </w:r>
          </w:p>
        </w:tc>
        <w:tc>
          <w:tcPr>
            <w:tcW w:w="8505"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30万元~50万元/套</w:t>
            </w:r>
          </w:p>
        </w:tc>
      </w:tr>
      <w:tr w:rsidR="00546BFE" w:rsidRPr="00546BFE" w:rsidTr="00546BFE">
        <w:trPr>
          <w:trHeight w:val="510"/>
        </w:trPr>
        <w:tc>
          <w:tcPr>
            <w:tcW w:w="180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居住类建筑</w:t>
            </w:r>
            <w:r w:rsidRPr="00546BFE">
              <w:rPr>
                <w:rFonts w:ascii="宋体" w:eastAsia="宋体" w:hAnsi="宋体" w:cs="宋体" w:hint="eastAsia"/>
                <w:kern w:val="0"/>
                <w:szCs w:val="21"/>
              </w:rPr>
              <w:br/>
              <w:t>（酒店式公寓）</w:t>
            </w:r>
          </w:p>
        </w:tc>
        <w:tc>
          <w:tcPr>
            <w:tcW w:w="8505"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40~130</w:t>
            </w:r>
          </w:p>
        </w:tc>
      </w:tr>
      <w:tr w:rsidR="00546BFE" w:rsidRPr="00546BFE" w:rsidTr="00546BFE">
        <w:trPr>
          <w:trHeight w:val="510"/>
        </w:trPr>
        <w:tc>
          <w:tcPr>
            <w:tcW w:w="180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酒店建筑</w:t>
            </w:r>
          </w:p>
        </w:tc>
        <w:tc>
          <w:tcPr>
            <w:tcW w:w="26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80~100</w:t>
            </w:r>
          </w:p>
        </w:tc>
        <w:tc>
          <w:tcPr>
            <w:tcW w:w="4110"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100~150</w:t>
            </w:r>
          </w:p>
        </w:tc>
        <w:tc>
          <w:tcPr>
            <w:tcW w:w="170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120~250</w:t>
            </w:r>
          </w:p>
        </w:tc>
      </w:tr>
      <w:tr w:rsidR="00546BFE" w:rsidRPr="00546BFE" w:rsidTr="00546BFE">
        <w:trPr>
          <w:trHeight w:val="510"/>
        </w:trPr>
        <w:tc>
          <w:tcPr>
            <w:tcW w:w="180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办公建筑</w:t>
            </w:r>
          </w:p>
        </w:tc>
        <w:tc>
          <w:tcPr>
            <w:tcW w:w="26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50~70</w:t>
            </w:r>
          </w:p>
        </w:tc>
        <w:tc>
          <w:tcPr>
            <w:tcW w:w="411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80~120</w:t>
            </w:r>
          </w:p>
        </w:tc>
        <w:tc>
          <w:tcPr>
            <w:tcW w:w="170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100~220</w:t>
            </w:r>
          </w:p>
        </w:tc>
      </w:tr>
      <w:tr w:rsidR="00546BFE" w:rsidRPr="00546BFE" w:rsidTr="00546BFE">
        <w:trPr>
          <w:trHeight w:val="510"/>
        </w:trPr>
        <w:tc>
          <w:tcPr>
            <w:tcW w:w="180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商业建筑</w:t>
            </w:r>
          </w:p>
        </w:tc>
        <w:tc>
          <w:tcPr>
            <w:tcW w:w="269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50~70</w:t>
            </w:r>
          </w:p>
        </w:tc>
        <w:tc>
          <w:tcPr>
            <w:tcW w:w="411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80~120</w:t>
            </w:r>
          </w:p>
        </w:tc>
        <w:tc>
          <w:tcPr>
            <w:tcW w:w="170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p>
        </w:tc>
      </w:tr>
      <w:tr w:rsidR="00546BFE" w:rsidRPr="00546BFE" w:rsidTr="00546BFE">
        <w:trPr>
          <w:trHeight w:val="510"/>
        </w:trPr>
        <w:tc>
          <w:tcPr>
            <w:tcW w:w="180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城市综合体</w:t>
            </w:r>
          </w:p>
        </w:tc>
        <w:tc>
          <w:tcPr>
            <w:tcW w:w="8505"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80~220</w:t>
            </w:r>
          </w:p>
        </w:tc>
      </w:tr>
      <w:tr w:rsidR="00546BFE" w:rsidRPr="00546BFE" w:rsidTr="00546BFE">
        <w:trPr>
          <w:trHeight w:val="510"/>
        </w:trPr>
        <w:tc>
          <w:tcPr>
            <w:tcW w:w="180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旅游建筑</w:t>
            </w:r>
          </w:p>
        </w:tc>
        <w:tc>
          <w:tcPr>
            <w:tcW w:w="8505"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110~130</w:t>
            </w:r>
          </w:p>
        </w:tc>
      </w:tr>
      <w:tr w:rsidR="00546BFE" w:rsidRPr="00546BFE" w:rsidTr="00546BFE">
        <w:trPr>
          <w:trHeight w:val="510"/>
        </w:trPr>
        <w:tc>
          <w:tcPr>
            <w:tcW w:w="180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教育建筑</w:t>
            </w:r>
          </w:p>
        </w:tc>
        <w:tc>
          <w:tcPr>
            <w:tcW w:w="8505" w:type="dxa"/>
            <w:gridSpan w:val="4"/>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50~100</w:t>
            </w:r>
          </w:p>
        </w:tc>
      </w:tr>
    </w:tbl>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附表五 工程咨询服务工日费用表</w:t>
      </w:r>
    </w:p>
    <w:tbl>
      <w:tblPr>
        <w:tblW w:w="10311" w:type="dxa"/>
        <w:tblCellMar>
          <w:left w:w="0" w:type="dxa"/>
          <w:right w:w="0" w:type="dxa"/>
        </w:tblCellMar>
        <w:tblLook w:val="04A0" w:firstRow="1" w:lastRow="0" w:firstColumn="1" w:lastColumn="0" w:noHBand="0" w:noVBand="1"/>
      </w:tblPr>
      <w:tblGrid>
        <w:gridCol w:w="3507"/>
        <w:gridCol w:w="6804"/>
      </w:tblGrid>
      <w:tr w:rsidR="00546BFE" w:rsidRPr="00546BFE" w:rsidTr="00546BFE">
        <w:trPr>
          <w:trHeight w:val="450"/>
        </w:trPr>
        <w:tc>
          <w:tcPr>
            <w:tcW w:w="350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专家等级</w:t>
            </w:r>
          </w:p>
        </w:tc>
        <w:tc>
          <w:tcPr>
            <w:tcW w:w="680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工日费用（元/天）</w:t>
            </w:r>
          </w:p>
        </w:tc>
      </w:tr>
      <w:tr w:rsidR="00546BFE" w:rsidRPr="00546BFE" w:rsidTr="00546BFE">
        <w:trPr>
          <w:trHeight w:val="465"/>
        </w:trPr>
        <w:tc>
          <w:tcPr>
            <w:tcW w:w="350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中国科学院、工程院院士</w:t>
            </w:r>
          </w:p>
        </w:tc>
        <w:tc>
          <w:tcPr>
            <w:tcW w:w="68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40000</w:t>
            </w:r>
          </w:p>
        </w:tc>
      </w:tr>
      <w:tr w:rsidR="00546BFE" w:rsidRPr="00546BFE" w:rsidTr="00546BFE">
        <w:trPr>
          <w:trHeight w:val="495"/>
        </w:trPr>
        <w:tc>
          <w:tcPr>
            <w:tcW w:w="350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全国勘察设计大师</w:t>
            </w:r>
          </w:p>
        </w:tc>
        <w:tc>
          <w:tcPr>
            <w:tcW w:w="68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20000</w:t>
            </w:r>
          </w:p>
        </w:tc>
      </w:tr>
      <w:tr w:rsidR="00546BFE" w:rsidRPr="00546BFE" w:rsidTr="00546BFE">
        <w:trPr>
          <w:trHeight w:val="435"/>
        </w:trPr>
        <w:tc>
          <w:tcPr>
            <w:tcW w:w="350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lastRenderedPageBreak/>
              <w:t>享受国务院津贴专家（地方勘察设计大师）</w:t>
            </w:r>
          </w:p>
        </w:tc>
        <w:tc>
          <w:tcPr>
            <w:tcW w:w="68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10000</w:t>
            </w:r>
          </w:p>
        </w:tc>
      </w:tr>
      <w:tr w:rsidR="00546BFE" w:rsidRPr="00546BFE" w:rsidTr="00546BFE">
        <w:trPr>
          <w:trHeight w:val="675"/>
        </w:trPr>
        <w:tc>
          <w:tcPr>
            <w:tcW w:w="350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教授级高级工程（建筑）师</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研究员</w:t>
            </w:r>
          </w:p>
        </w:tc>
        <w:tc>
          <w:tcPr>
            <w:tcW w:w="68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7500</w:t>
            </w:r>
          </w:p>
        </w:tc>
      </w:tr>
      <w:tr w:rsidR="00546BFE" w:rsidRPr="00546BFE" w:rsidTr="00546BFE">
        <w:trPr>
          <w:trHeight w:val="435"/>
        </w:trPr>
        <w:tc>
          <w:tcPr>
            <w:tcW w:w="350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高级工程（建筑）师</w:t>
            </w:r>
          </w:p>
        </w:tc>
        <w:tc>
          <w:tcPr>
            <w:tcW w:w="68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5000</w:t>
            </w:r>
          </w:p>
        </w:tc>
      </w:tr>
      <w:tr w:rsidR="00546BFE" w:rsidRPr="00546BFE" w:rsidTr="00546BFE">
        <w:trPr>
          <w:trHeight w:val="405"/>
        </w:trPr>
        <w:tc>
          <w:tcPr>
            <w:tcW w:w="350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工程（建筑）师</w:t>
            </w:r>
          </w:p>
        </w:tc>
        <w:tc>
          <w:tcPr>
            <w:tcW w:w="68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3000</w:t>
            </w:r>
          </w:p>
        </w:tc>
      </w:tr>
      <w:tr w:rsidR="00546BFE" w:rsidRPr="00546BFE" w:rsidTr="00546BFE">
        <w:trPr>
          <w:trHeight w:val="420"/>
        </w:trPr>
        <w:tc>
          <w:tcPr>
            <w:tcW w:w="3507"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其他技术人员</w:t>
            </w:r>
          </w:p>
        </w:tc>
        <w:tc>
          <w:tcPr>
            <w:tcW w:w="68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2000</w:t>
            </w:r>
          </w:p>
        </w:tc>
      </w:tr>
    </w:tbl>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 w:val="18"/>
          <w:szCs w:val="18"/>
        </w:rPr>
        <w:t>注：不足半天，按照半天计费，超过半天，按照全天计费。</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附表六 设计其他服务计费表 （Ⅰ）</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（以设计基本服务计费乘附加系数计取）</w:t>
      </w:r>
    </w:p>
    <w:tbl>
      <w:tblPr>
        <w:tblW w:w="11729" w:type="dxa"/>
        <w:tblCellMar>
          <w:left w:w="0" w:type="dxa"/>
          <w:right w:w="0" w:type="dxa"/>
        </w:tblCellMar>
        <w:tblLook w:val="04A0" w:firstRow="1" w:lastRow="0" w:firstColumn="1" w:lastColumn="0" w:noHBand="0" w:noVBand="1"/>
      </w:tblPr>
      <w:tblGrid>
        <w:gridCol w:w="1105"/>
        <w:gridCol w:w="3395"/>
        <w:gridCol w:w="3827"/>
        <w:gridCol w:w="3402"/>
      </w:tblGrid>
      <w:tr w:rsidR="00546BFE" w:rsidRPr="00546BFE" w:rsidTr="00546BFE">
        <w:trPr>
          <w:trHeight w:val="570"/>
        </w:trPr>
        <w:tc>
          <w:tcPr>
            <w:tcW w:w="110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序号</w:t>
            </w:r>
          </w:p>
        </w:tc>
        <w:tc>
          <w:tcPr>
            <w:tcW w:w="33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服务内容</w:t>
            </w:r>
          </w:p>
        </w:tc>
        <w:tc>
          <w:tcPr>
            <w:tcW w:w="382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服务计费</w:t>
            </w:r>
          </w:p>
        </w:tc>
        <w:tc>
          <w:tcPr>
            <w:tcW w:w="340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备注</w:t>
            </w:r>
          </w:p>
        </w:tc>
      </w:tr>
      <w:tr w:rsidR="00546BFE" w:rsidRPr="00546BFE" w:rsidTr="00546BFE">
        <w:trPr>
          <w:trHeight w:val="510"/>
        </w:trPr>
        <w:tc>
          <w:tcPr>
            <w:tcW w:w="11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w:t>
            </w:r>
          </w:p>
        </w:tc>
        <w:tc>
          <w:tcPr>
            <w:tcW w:w="3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总体设计</w:t>
            </w:r>
          </w:p>
        </w:tc>
        <w:tc>
          <w:tcPr>
            <w:tcW w:w="382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设计基本服务计费×0.1</w:t>
            </w:r>
          </w:p>
        </w:tc>
        <w:tc>
          <w:tcPr>
            <w:tcW w:w="34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见注1、注3</w:t>
            </w:r>
          </w:p>
        </w:tc>
      </w:tr>
      <w:tr w:rsidR="00546BFE" w:rsidRPr="00546BFE" w:rsidTr="00546BFE">
        <w:trPr>
          <w:trHeight w:val="510"/>
        </w:trPr>
        <w:tc>
          <w:tcPr>
            <w:tcW w:w="11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w:t>
            </w:r>
          </w:p>
        </w:tc>
        <w:tc>
          <w:tcPr>
            <w:tcW w:w="3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主体设计协调（</w:t>
            </w:r>
            <w:proofErr w:type="gramStart"/>
            <w:r w:rsidRPr="00546BFE">
              <w:rPr>
                <w:rFonts w:ascii="宋体" w:eastAsia="宋体" w:hAnsi="宋体" w:cs="宋体" w:hint="eastAsia"/>
                <w:kern w:val="0"/>
                <w:szCs w:val="21"/>
              </w:rPr>
              <w:t>含设计</w:t>
            </w:r>
            <w:proofErr w:type="gramEnd"/>
            <w:r w:rsidRPr="00546BFE">
              <w:rPr>
                <w:rFonts w:ascii="宋体" w:eastAsia="宋体" w:hAnsi="宋体" w:cs="宋体" w:hint="eastAsia"/>
                <w:kern w:val="0"/>
                <w:szCs w:val="21"/>
              </w:rPr>
              <w:t>总包服务）</w:t>
            </w:r>
          </w:p>
        </w:tc>
        <w:tc>
          <w:tcPr>
            <w:tcW w:w="382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设计基本服务计费×0.1</w:t>
            </w:r>
          </w:p>
        </w:tc>
        <w:tc>
          <w:tcPr>
            <w:tcW w:w="34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见注2、注3</w:t>
            </w:r>
          </w:p>
        </w:tc>
      </w:tr>
      <w:tr w:rsidR="00546BFE" w:rsidRPr="00546BFE" w:rsidTr="00546BFE">
        <w:trPr>
          <w:trHeight w:val="510"/>
        </w:trPr>
        <w:tc>
          <w:tcPr>
            <w:tcW w:w="11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3</w:t>
            </w:r>
          </w:p>
        </w:tc>
        <w:tc>
          <w:tcPr>
            <w:tcW w:w="3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绿色建筑设计</w:t>
            </w:r>
          </w:p>
        </w:tc>
        <w:tc>
          <w:tcPr>
            <w:tcW w:w="382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一星：设计基本服务计费×0.05</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二星：设计基本服务计费×0.15</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三星：设计基本服务计费×0.30</w:t>
            </w:r>
          </w:p>
        </w:tc>
        <w:tc>
          <w:tcPr>
            <w:tcW w:w="34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见注3</w:t>
            </w:r>
          </w:p>
        </w:tc>
      </w:tr>
      <w:tr w:rsidR="00546BFE" w:rsidRPr="00546BFE" w:rsidTr="00546BFE">
        <w:trPr>
          <w:trHeight w:val="510"/>
        </w:trPr>
        <w:tc>
          <w:tcPr>
            <w:tcW w:w="11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4</w:t>
            </w:r>
          </w:p>
        </w:tc>
        <w:tc>
          <w:tcPr>
            <w:tcW w:w="3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BIM技术应用</w:t>
            </w:r>
          </w:p>
        </w:tc>
        <w:tc>
          <w:tcPr>
            <w:tcW w:w="382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设计基本服务计费×（0.2-0.5）</w:t>
            </w:r>
          </w:p>
        </w:tc>
        <w:tc>
          <w:tcPr>
            <w:tcW w:w="34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根据BIM设计深度、复杂程度和服务内容确定附加系数。</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另见注3</w:t>
            </w:r>
          </w:p>
        </w:tc>
      </w:tr>
      <w:tr w:rsidR="00546BFE" w:rsidRPr="00546BFE" w:rsidTr="00546BFE">
        <w:trPr>
          <w:trHeight w:val="510"/>
        </w:trPr>
        <w:tc>
          <w:tcPr>
            <w:tcW w:w="11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lastRenderedPageBreak/>
              <w:t>5</w:t>
            </w:r>
          </w:p>
        </w:tc>
        <w:tc>
          <w:tcPr>
            <w:tcW w:w="3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被动式节能建筑设计</w:t>
            </w:r>
          </w:p>
        </w:tc>
        <w:tc>
          <w:tcPr>
            <w:tcW w:w="382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设计基本服务计费×（0.3-0.5）</w:t>
            </w:r>
          </w:p>
        </w:tc>
        <w:tc>
          <w:tcPr>
            <w:tcW w:w="34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见注3</w:t>
            </w:r>
          </w:p>
        </w:tc>
      </w:tr>
      <w:tr w:rsidR="00546BFE" w:rsidRPr="00546BFE" w:rsidTr="00546BFE">
        <w:trPr>
          <w:trHeight w:val="510"/>
        </w:trPr>
        <w:tc>
          <w:tcPr>
            <w:tcW w:w="11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6</w:t>
            </w:r>
          </w:p>
        </w:tc>
        <w:tc>
          <w:tcPr>
            <w:tcW w:w="3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预制装配式建筑设计</w:t>
            </w:r>
          </w:p>
        </w:tc>
        <w:tc>
          <w:tcPr>
            <w:tcW w:w="382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设计基本服务计费×（0.3-0.5）</w:t>
            </w:r>
          </w:p>
        </w:tc>
        <w:tc>
          <w:tcPr>
            <w:tcW w:w="34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见注3</w:t>
            </w:r>
          </w:p>
        </w:tc>
      </w:tr>
      <w:tr w:rsidR="00546BFE" w:rsidRPr="00546BFE" w:rsidTr="00546BFE">
        <w:trPr>
          <w:trHeight w:val="510"/>
        </w:trPr>
        <w:tc>
          <w:tcPr>
            <w:tcW w:w="11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7</w:t>
            </w:r>
          </w:p>
        </w:tc>
        <w:tc>
          <w:tcPr>
            <w:tcW w:w="3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编制施工招标技术文件</w:t>
            </w:r>
          </w:p>
        </w:tc>
        <w:tc>
          <w:tcPr>
            <w:tcW w:w="382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设计基本服务计费×0.1</w:t>
            </w:r>
          </w:p>
        </w:tc>
        <w:tc>
          <w:tcPr>
            <w:tcW w:w="34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p>
        </w:tc>
      </w:tr>
      <w:tr w:rsidR="00546BFE" w:rsidRPr="00546BFE" w:rsidTr="00546BFE">
        <w:trPr>
          <w:trHeight w:val="510"/>
        </w:trPr>
        <w:tc>
          <w:tcPr>
            <w:tcW w:w="11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8</w:t>
            </w:r>
          </w:p>
        </w:tc>
        <w:tc>
          <w:tcPr>
            <w:tcW w:w="3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编制工程量清单</w:t>
            </w:r>
          </w:p>
        </w:tc>
        <w:tc>
          <w:tcPr>
            <w:tcW w:w="382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设计基本服务计费×0.1</w:t>
            </w:r>
          </w:p>
        </w:tc>
        <w:tc>
          <w:tcPr>
            <w:tcW w:w="34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p>
        </w:tc>
      </w:tr>
      <w:tr w:rsidR="00546BFE" w:rsidRPr="00546BFE" w:rsidTr="00546BFE">
        <w:trPr>
          <w:trHeight w:val="510"/>
        </w:trPr>
        <w:tc>
          <w:tcPr>
            <w:tcW w:w="11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9</w:t>
            </w:r>
          </w:p>
        </w:tc>
        <w:tc>
          <w:tcPr>
            <w:tcW w:w="3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编制施工图预算</w:t>
            </w:r>
          </w:p>
        </w:tc>
        <w:tc>
          <w:tcPr>
            <w:tcW w:w="382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设计基本服务计费×0.1</w:t>
            </w:r>
          </w:p>
        </w:tc>
        <w:tc>
          <w:tcPr>
            <w:tcW w:w="34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p>
        </w:tc>
      </w:tr>
      <w:tr w:rsidR="00546BFE" w:rsidRPr="00546BFE" w:rsidTr="00546BFE">
        <w:trPr>
          <w:trHeight w:val="510"/>
        </w:trPr>
        <w:tc>
          <w:tcPr>
            <w:tcW w:w="11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w:t>
            </w:r>
          </w:p>
        </w:tc>
        <w:tc>
          <w:tcPr>
            <w:tcW w:w="3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建设过程技术顾问咨询</w:t>
            </w:r>
          </w:p>
        </w:tc>
        <w:tc>
          <w:tcPr>
            <w:tcW w:w="382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设计基本服务计费×0.25</w:t>
            </w:r>
          </w:p>
        </w:tc>
        <w:tc>
          <w:tcPr>
            <w:tcW w:w="34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p>
        </w:tc>
      </w:tr>
      <w:tr w:rsidR="00546BFE" w:rsidRPr="00546BFE" w:rsidTr="00546BFE">
        <w:trPr>
          <w:trHeight w:val="510"/>
        </w:trPr>
        <w:tc>
          <w:tcPr>
            <w:tcW w:w="11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11</w:t>
            </w:r>
          </w:p>
        </w:tc>
        <w:tc>
          <w:tcPr>
            <w:tcW w:w="3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编制竣工图</w:t>
            </w:r>
          </w:p>
        </w:tc>
        <w:tc>
          <w:tcPr>
            <w:tcW w:w="382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设计基本服务计费×0.08</w:t>
            </w:r>
          </w:p>
        </w:tc>
        <w:tc>
          <w:tcPr>
            <w:tcW w:w="34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p>
        </w:tc>
      </w:tr>
      <w:tr w:rsidR="00546BFE" w:rsidRPr="00546BFE" w:rsidTr="00546BFE">
        <w:trPr>
          <w:trHeight w:val="510"/>
        </w:trPr>
        <w:tc>
          <w:tcPr>
            <w:tcW w:w="11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12</w:t>
            </w:r>
          </w:p>
        </w:tc>
        <w:tc>
          <w:tcPr>
            <w:tcW w:w="3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驻场服务</w:t>
            </w:r>
          </w:p>
        </w:tc>
        <w:tc>
          <w:tcPr>
            <w:tcW w:w="382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参照《建筑设计服务计费指导》之附表五《工程咨询服务工日费用标准》执行</w:t>
            </w:r>
          </w:p>
        </w:tc>
        <w:tc>
          <w:tcPr>
            <w:tcW w:w="34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p>
        </w:tc>
      </w:tr>
      <w:tr w:rsidR="00546BFE" w:rsidRPr="00546BFE" w:rsidTr="00546BFE">
        <w:trPr>
          <w:trHeight w:val="510"/>
        </w:trPr>
        <w:tc>
          <w:tcPr>
            <w:tcW w:w="11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13</w:t>
            </w:r>
          </w:p>
        </w:tc>
        <w:tc>
          <w:tcPr>
            <w:tcW w:w="3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其它</w:t>
            </w:r>
          </w:p>
        </w:tc>
        <w:tc>
          <w:tcPr>
            <w:tcW w:w="382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参照上述有关类似项目标准取费</w:t>
            </w:r>
          </w:p>
        </w:tc>
        <w:tc>
          <w:tcPr>
            <w:tcW w:w="340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p>
        </w:tc>
      </w:tr>
    </w:tbl>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 w:val="18"/>
          <w:szCs w:val="18"/>
        </w:rPr>
        <w:t>注1：总体设计指初步设计之前，一些大型、特大型建设项目，由于建设规模大、设计内容多，需要分步建设，但在项目实施前需要有一个总体设想， 以便各建设内容之间相互衔接配合，因此往往需要编制总体设计或称总体规划设计。总体设计的主要内容包括：整个建设项目的组成、功能、目标和规模，建设条件、设计依据和设计原则，总工艺流程、总体布局和总体建设方案，各单项工程的设计概况，工程环保、劳动安全卫生等设计方案，整个工程的初步概算和投资效益分析等。一般建设项目的总平面布置或总图设计不属于总体设计范畴，</w:t>
      </w:r>
      <w:proofErr w:type="gramStart"/>
      <w:r w:rsidRPr="00546BFE">
        <w:rPr>
          <w:rFonts w:ascii="宋体" w:eastAsia="宋体" w:hAnsi="宋体" w:cs="宋体" w:hint="eastAsia"/>
          <w:color w:val="3E3E3E"/>
          <w:kern w:val="0"/>
          <w:sz w:val="18"/>
          <w:szCs w:val="18"/>
        </w:rPr>
        <w:t>不</w:t>
      </w:r>
      <w:proofErr w:type="gramEnd"/>
      <w:r w:rsidRPr="00546BFE">
        <w:rPr>
          <w:rFonts w:ascii="宋体" w:eastAsia="宋体" w:hAnsi="宋体" w:cs="宋体" w:hint="eastAsia"/>
          <w:color w:val="3E3E3E"/>
          <w:kern w:val="0"/>
          <w:sz w:val="18"/>
          <w:szCs w:val="18"/>
        </w:rPr>
        <w:t>应收取总体设计费。</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 w:val="18"/>
          <w:szCs w:val="18"/>
        </w:rPr>
        <w:t>注2：主体设计协调指建设项目工程由发包人分别委托两个或者两个以上设计人承担，设计总</w:t>
      </w:r>
      <w:proofErr w:type="gramStart"/>
      <w:r w:rsidRPr="00546BFE">
        <w:rPr>
          <w:rFonts w:ascii="宋体" w:eastAsia="宋体" w:hAnsi="宋体" w:cs="宋体" w:hint="eastAsia"/>
          <w:color w:val="3E3E3E"/>
          <w:kern w:val="0"/>
          <w:sz w:val="18"/>
          <w:szCs w:val="18"/>
        </w:rPr>
        <w:t>包服务</w:t>
      </w:r>
      <w:proofErr w:type="gramEnd"/>
      <w:r w:rsidRPr="00546BFE">
        <w:rPr>
          <w:rFonts w:ascii="宋体" w:eastAsia="宋体" w:hAnsi="宋体" w:cs="宋体" w:hint="eastAsia"/>
          <w:color w:val="3E3E3E"/>
          <w:kern w:val="0"/>
          <w:sz w:val="18"/>
          <w:szCs w:val="18"/>
        </w:rPr>
        <w:t>是指发包人委托设计人承担全部设计服务，上述两种情况下，设计人应对建设项目工程设计合理性和整体性负责，发包人应支付主体协调费。</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 w:val="18"/>
          <w:szCs w:val="18"/>
        </w:rPr>
        <w:t>注3：同时承担表中序号1、2、3、4、5、6项时，系数相加不大于 1.0。</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proofErr w:type="gramStart"/>
      <w:r w:rsidRPr="00546BFE">
        <w:rPr>
          <w:rFonts w:ascii="宋体" w:eastAsia="宋体" w:hAnsi="宋体" w:cs="宋体" w:hint="eastAsia"/>
          <w:b/>
          <w:bCs/>
          <w:color w:val="3E3E3E"/>
          <w:kern w:val="0"/>
          <w:szCs w:val="21"/>
        </w:rPr>
        <w:t>附表七</w:t>
      </w:r>
      <w:proofErr w:type="gramEnd"/>
      <w:r w:rsidRPr="00546BFE">
        <w:rPr>
          <w:rFonts w:ascii="宋体" w:eastAsia="宋体" w:hAnsi="宋体" w:cs="宋体" w:hint="eastAsia"/>
          <w:b/>
          <w:bCs/>
          <w:color w:val="3E3E3E"/>
          <w:kern w:val="0"/>
          <w:szCs w:val="21"/>
        </w:rPr>
        <w:t xml:space="preserve"> 设计其他服务计费表（Ⅱ）</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lastRenderedPageBreak/>
        <w:t>（以用地面积、建筑面积计取）</w:t>
      </w:r>
    </w:p>
    <w:tbl>
      <w:tblPr>
        <w:tblW w:w="9886" w:type="dxa"/>
        <w:tblCellMar>
          <w:left w:w="0" w:type="dxa"/>
          <w:right w:w="0" w:type="dxa"/>
        </w:tblCellMar>
        <w:tblLook w:val="04A0" w:firstRow="1" w:lastRow="0" w:firstColumn="1" w:lastColumn="0" w:noHBand="0" w:noVBand="1"/>
      </w:tblPr>
      <w:tblGrid>
        <w:gridCol w:w="672"/>
        <w:gridCol w:w="3119"/>
        <w:gridCol w:w="1843"/>
        <w:gridCol w:w="4252"/>
      </w:tblGrid>
      <w:tr w:rsidR="00546BFE" w:rsidRPr="00546BFE" w:rsidTr="00546BFE">
        <w:trPr>
          <w:trHeight w:val="390"/>
        </w:trPr>
        <w:tc>
          <w:tcPr>
            <w:tcW w:w="67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序号</w:t>
            </w:r>
          </w:p>
        </w:tc>
        <w:tc>
          <w:tcPr>
            <w:tcW w:w="311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服务内容</w:t>
            </w:r>
          </w:p>
        </w:tc>
        <w:tc>
          <w:tcPr>
            <w:tcW w:w="184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服务计费</w:t>
            </w:r>
          </w:p>
        </w:tc>
        <w:tc>
          <w:tcPr>
            <w:tcW w:w="425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ind w:left="5422" w:hangingChars="2582" w:hanging="5422"/>
              <w:jc w:val="left"/>
              <w:rPr>
                <w:rFonts w:ascii="宋体" w:eastAsia="宋体" w:hAnsi="宋体" w:cs="宋体"/>
                <w:kern w:val="0"/>
                <w:sz w:val="24"/>
                <w:szCs w:val="24"/>
              </w:rPr>
            </w:pPr>
            <w:r w:rsidRPr="00546BFE">
              <w:rPr>
                <w:rFonts w:ascii="宋体" w:eastAsia="宋体" w:hAnsi="宋体" w:cs="宋体" w:hint="eastAsia"/>
                <w:kern w:val="0"/>
                <w:szCs w:val="21"/>
              </w:rPr>
              <w:t>备注</w:t>
            </w:r>
          </w:p>
        </w:tc>
      </w:tr>
      <w:tr w:rsidR="00546BFE" w:rsidRPr="00546BFE" w:rsidTr="00546BFE">
        <w:trPr>
          <w:trHeight w:val="390"/>
        </w:trPr>
        <w:tc>
          <w:tcPr>
            <w:tcW w:w="6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w:t>
            </w:r>
          </w:p>
        </w:tc>
        <w:tc>
          <w:tcPr>
            <w:tcW w:w="311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概念性规划方案设计</w:t>
            </w:r>
          </w:p>
        </w:tc>
        <w:tc>
          <w:tcPr>
            <w:tcW w:w="184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10000元/ha</w:t>
            </w:r>
          </w:p>
        </w:tc>
        <w:tc>
          <w:tcPr>
            <w:tcW w:w="425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以用地面积计算</w:t>
            </w:r>
          </w:p>
        </w:tc>
      </w:tr>
      <w:tr w:rsidR="00546BFE" w:rsidRPr="00546BFE" w:rsidTr="00546BFE">
        <w:trPr>
          <w:trHeight w:val="390"/>
        </w:trPr>
        <w:tc>
          <w:tcPr>
            <w:tcW w:w="6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w:t>
            </w:r>
          </w:p>
        </w:tc>
        <w:tc>
          <w:tcPr>
            <w:tcW w:w="311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概念性建筑方案设计</w:t>
            </w:r>
          </w:p>
        </w:tc>
        <w:tc>
          <w:tcPr>
            <w:tcW w:w="184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5-25元/m2</w:t>
            </w:r>
          </w:p>
        </w:tc>
        <w:tc>
          <w:tcPr>
            <w:tcW w:w="425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以建筑面积计算</w:t>
            </w:r>
          </w:p>
        </w:tc>
      </w:tr>
      <w:tr w:rsidR="00546BFE" w:rsidRPr="00546BFE" w:rsidTr="00546BFE">
        <w:trPr>
          <w:trHeight w:val="390"/>
        </w:trPr>
        <w:tc>
          <w:tcPr>
            <w:tcW w:w="6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3</w:t>
            </w:r>
          </w:p>
        </w:tc>
        <w:tc>
          <w:tcPr>
            <w:tcW w:w="311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建筑总平面布置或者小区规划方案设计</w:t>
            </w:r>
          </w:p>
        </w:tc>
        <w:tc>
          <w:tcPr>
            <w:tcW w:w="184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30000元/ha</w:t>
            </w:r>
          </w:p>
        </w:tc>
        <w:tc>
          <w:tcPr>
            <w:tcW w:w="425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以用地面积计算</w:t>
            </w:r>
          </w:p>
        </w:tc>
      </w:tr>
      <w:tr w:rsidR="00546BFE" w:rsidRPr="00546BFE" w:rsidTr="00546BFE">
        <w:trPr>
          <w:trHeight w:val="390"/>
        </w:trPr>
        <w:tc>
          <w:tcPr>
            <w:tcW w:w="67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4</w:t>
            </w:r>
          </w:p>
        </w:tc>
        <w:tc>
          <w:tcPr>
            <w:tcW w:w="311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绿色建筑设计标识评价咨询服务</w:t>
            </w:r>
          </w:p>
        </w:tc>
        <w:tc>
          <w:tcPr>
            <w:tcW w:w="184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一星：3元/m2</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二星：6元/m2</w:t>
            </w:r>
          </w:p>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三星：10元/m2</w:t>
            </w:r>
          </w:p>
        </w:tc>
        <w:tc>
          <w:tcPr>
            <w:tcW w:w="425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不包括绿色建筑设计标识评价申报的工作。</w:t>
            </w:r>
          </w:p>
        </w:tc>
      </w:tr>
    </w:tbl>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b/>
          <w:bCs/>
          <w:color w:val="3E3E3E"/>
          <w:kern w:val="0"/>
          <w:szCs w:val="21"/>
        </w:rPr>
        <w:t>附表八 设计其他服务计费表（Ⅲ）</w:t>
      </w:r>
    </w:p>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Cs w:val="21"/>
        </w:rPr>
        <w:t>（以单项工程投资额计费）</w:t>
      </w:r>
    </w:p>
    <w:tbl>
      <w:tblPr>
        <w:tblW w:w="11729" w:type="dxa"/>
        <w:tblCellMar>
          <w:left w:w="0" w:type="dxa"/>
          <w:right w:w="0" w:type="dxa"/>
        </w:tblCellMar>
        <w:tblLook w:val="04A0" w:firstRow="1" w:lastRow="0" w:firstColumn="1" w:lastColumn="0" w:noHBand="0" w:noVBand="1"/>
      </w:tblPr>
      <w:tblGrid>
        <w:gridCol w:w="968"/>
        <w:gridCol w:w="3408"/>
        <w:gridCol w:w="5124"/>
        <w:gridCol w:w="2229"/>
      </w:tblGrid>
      <w:tr w:rsidR="00546BFE" w:rsidRPr="00546BFE" w:rsidTr="00546BFE">
        <w:trPr>
          <w:trHeight w:val="390"/>
        </w:trPr>
        <w:tc>
          <w:tcPr>
            <w:tcW w:w="96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序号</w:t>
            </w:r>
          </w:p>
        </w:tc>
        <w:tc>
          <w:tcPr>
            <w:tcW w:w="340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服务内容</w:t>
            </w:r>
          </w:p>
        </w:tc>
        <w:tc>
          <w:tcPr>
            <w:tcW w:w="512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计费额</w:t>
            </w:r>
          </w:p>
        </w:tc>
        <w:tc>
          <w:tcPr>
            <w:tcW w:w="222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服务计费</w:t>
            </w:r>
          </w:p>
        </w:tc>
      </w:tr>
      <w:tr w:rsidR="00546BFE" w:rsidRPr="00546BFE" w:rsidTr="00546BFE">
        <w:trPr>
          <w:trHeight w:val="390"/>
        </w:trPr>
        <w:tc>
          <w:tcPr>
            <w:tcW w:w="9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w:t>
            </w:r>
          </w:p>
        </w:tc>
        <w:tc>
          <w:tcPr>
            <w:tcW w:w="34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室内装修设计（含机电配合设计）</w:t>
            </w:r>
          </w:p>
        </w:tc>
        <w:tc>
          <w:tcPr>
            <w:tcW w:w="512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以室内装修工程的建筑安装费用投资额为计费额</w:t>
            </w:r>
          </w:p>
        </w:tc>
        <w:tc>
          <w:tcPr>
            <w:tcW w:w="222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计费额×5.5%（8.5%）</w:t>
            </w:r>
          </w:p>
        </w:tc>
      </w:tr>
      <w:tr w:rsidR="00546BFE" w:rsidRPr="00546BFE" w:rsidTr="00546BFE">
        <w:trPr>
          <w:trHeight w:val="390"/>
        </w:trPr>
        <w:tc>
          <w:tcPr>
            <w:tcW w:w="9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2</w:t>
            </w:r>
          </w:p>
        </w:tc>
        <w:tc>
          <w:tcPr>
            <w:tcW w:w="34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建筑智能化设计</w:t>
            </w:r>
          </w:p>
        </w:tc>
        <w:tc>
          <w:tcPr>
            <w:tcW w:w="512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以建筑智能化工程的建筑安装费用投资额为计费额</w:t>
            </w:r>
          </w:p>
        </w:tc>
        <w:tc>
          <w:tcPr>
            <w:tcW w:w="222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计费额×4.5%</w:t>
            </w:r>
          </w:p>
        </w:tc>
      </w:tr>
      <w:tr w:rsidR="00546BFE" w:rsidRPr="00546BFE" w:rsidTr="00546BFE">
        <w:trPr>
          <w:trHeight w:val="390"/>
        </w:trPr>
        <w:tc>
          <w:tcPr>
            <w:tcW w:w="9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3</w:t>
            </w:r>
          </w:p>
        </w:tc>
        <w:tc>
          <w:tcPr>
            <w:tcW w:w="34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幕墙设计（</w:t>
            </w:r>
            <w:proofErr w:type="gramStart"/>
            <w:r w:rsidRPr="00546BFE">
              <w:rPr>
                <w:rFonts w:ascii="宋体" w:eastAsia="宋体" w:hAnsi="宋体" w:cs="宋体" w:hint="eastAsia"/>
                <w:kern w:val="0"/>
                <w:szCs w:val="21"/>
              </w:rPr>
              <w:t>含深化</w:t>
            </w:r>
            <w:proofErr w:type="gramEnd"/>
            <w:r w:rsidRPr="00546BFE">
              <w:rPr>
                <w:rFonts w:ascii="宋体" w:eastAsia="宋体" w:hAnsi="宋体" w:cs="宋体" w:hint="eastAsia"/>
                <w:kern w:val="0"/>
                <w:szCs w:val="21"/>
              </w:rPr>
              <w:t>设计）</w:t>
            </w:r>
          </w:p>
        </w:tc>
        <w:tc>
          <w:tcPr>
            <w:tcW w:w="512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以幕墙工程的建筑安装费用为计费额</w:t>
            </w:r>
          </w:p>
        </w:tc>
        <w:tc>
          <w:tcPr>
            <w:tcW w:w="222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计费额×4.5%（6%）</w:t>
            </w:r>
          </w:p>
        </w:tc>
      </w:tr>
      <w:tr w:rsidR="00546BFE" w:rsidRPr="00546BFE" w:rsidTr="00546BFE">
        <w:trPr>
          <w:trHeight w:val="390"/>
        </w:trPr>
        <w:tc>
          <w:tcPr>
            <w:tcW w:w="9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4</w:t>
            </w:r>
          </w:p>
        </w:tc>
        <w:tc>
          <w:tcPr>
            <w:tcW w:w="34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特殊照明设计</w:t>
            </w:r>
          </w:p>
        </w:tc>
        <w:tc>
          <w:tcPr>
            <w:tcW w:w="512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以特殊照明工程的建筑安装费用为计费额</w:t>
            </w:r>
          </w:p>
        </w:tc>
        <w:tc>
          <w:tcPr>
            <w:tcW w:w="222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计费额×4.5%</w:t>
            </w:r>
          </w:p>
        </w:tc>
      </w:tr>
      <w:tr w:rsidR="00546BFE" w:rsidRPr="00546BFE" w:rsidTr="00546BFE">
        <w:trPr>
          <w:trHeight w:val="390"/>
        </w:trPr>
        <w:tc>
          <w:tcPr>
            <w:tcW w:w="9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5</w:t>
            </w:r>
          </w:p>
        </w:tc>
        <w:tc>
          <w:tcPr>
            <w:tcW w:w="34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钢结构深化设计</w:t>
            </w:r>
          </w:p>
        </w:tc>
        <w:tc>
          <w:tcPr>
            <w:tcW w:w="512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以钢结构工程的建筑安装费用为计费额</w:t>
            </w:r>
          </w:p>
        </w:tc>
        <w:tc>
          <w:tcPr>
            <w:tcW w:w="222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计费额×4.5%</w:t>
            </w:r>
          </w:p>
        </w:tc>
      </w:tr>
      <w:tr w:rsidR="00546BFE" w:rsidRPr="00546BFE" w:rsidTr="00546BFE">
        <w:trPr>
          <w:trHeight w:val="390"/>
        </w:trPr>
        <w:tc>
          <w:tcPr>
            <w:tcW w:w="9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6</w:t>
            </w:r>
          </w:p>
        </w:tc>
        <w:tc>
          <w:tcPr>
            <w:tcW w:w="34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金属屋面设计（</w:t>
            </w:r>
            <w:proofErr w:type="gramStart"/>
            <w:r w:rsidRPr="00546BFE">
              <w:rPr>
                <w:rFonts w:ascii="宋体" w:eastAsia="宋体" w:hAnsi="宋体" w:cs="宋体" w:hint="eastAsia"/>
                <w:kern w:val="0"/>
                <w:szCs w:val="21"/>
              </w:rPr>
              <w:t>含深化</w:t>
            </w:r>
            <w:proofErr w:type="gramEnd"/>
            <w:r w:rsidRPr="00546BFE">
              <w:rPr>
                <w:rFonts w:ascii="宋体" w:eastAsia="宋体" w:hAnsi="宋体" w:cs="宋体" w:hint="eastAsia"/>
                <w:kern w:val="0"/>
                <w:szCs w:val="21"/>
              </w:rPr>
              <w:t>设计）</w:t>
            </w:r>
          </w:p>
        </w:tc>
        <w:tc>
          <w:tcPr>
            <w:tcW w:w="512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以金属屋面工程的建筑安装费用为计费额</w:t>
            </w:r>
          </w:p>
        </w:tc>
        <w:tc>
          <w:tcPr>
            <w:tcW w:w="222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计费额×4%（5%）</w:t>
            </w:r>
          </w:p>
        </w:tc>
      </w:tr>
      <w:tr w:rsidR="00546BFE" w:rsidRPr="00546BFE" w:rsidTr="00546BFE">
        <w:trPr>
          <w:trHeight w:val="390"/>
        </w:trPr>
        <w:tc>
          <w:tcPr>
            <w:tcW w:w="9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7</w:t>
            </w:r>
          </w:p>
        </w:tc>
        <w:tc>
          <w:tcPr>
            <w:tcW w:w="34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风景园林景观设计</w:t>
            </w:r>
          </w:p>
        </w:tc>
        <w:tc>
          <w:tcPr>
            <w:tcW w:w="512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以园林景观工程的建筑安装费用为计费额</w:t>
            </w:r>
          </w:p>
        </w:tc>
        <w:tc>
          <w:tcPr>
            <w:tcW w:w="222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计费额×6%</w:t>
            </w:r>
          </w:p>
        </w:tc>
      </w:tr>
      <w:tr w:rsidR="00546BFE" w:rsidRPr="00546BFE" w:rsidTr="00546BFE">
        <w:trPr>
          <w:trHeight w:val="390"/>
        </w:trPr>
        <w:tc>
          <w:tcPr>
            <w:tcW w:w="9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8</w:t>
            </w:r>
          </w:p>
        </w:tc>
        <w:tc>
          <w:tcPr>
            <w:tcW w:w="34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特殊声学设计</w:t>
            </w:r>
          </w:p>
        </w:tc>
        <w:tc>
          <w:tcPr>
            <w:tcW w:w="512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以特殊声学装修工程的建筑安装费用为计费额</w:t>
            </w:r>
          </w:p>
        </w:tc>
        <w:tc>
          <w:tcPr>
            <w:tcW w:w="222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计费额×9%</w:t>
            </w:r>
          </w:p>
        </w:tc>
      </w:tr>
      <w:tr w:rsidR="00546BFE" w:rsidRPr="00546BFE" w:rsidTr="00546BFE">
        <w:trPr>
          <w:trHeight w:val="390"/>
        </w:trPr>
        <w:tc>
          <w:tcPr>
            <w:tcW w:w="9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lastRenderedPageBreak/>
              <w:t>9</w:t>
            </w:r>
          </w:p>
        </w:tc>
        <w:tc>
          <w:tcPr>
            <w:tcW w:w="34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室外工程设计</w:t>
            </w:r>
          </w:p>
        </w:tc>
        <w:tc>
          <w:tcPr>
            <w:tcW w:w="512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以室外工程的建筑安装费用为计费额</w:t>
            </w:r>
          </w:p>
        </w:tc>
        <w:tc>
          <w:tcPr>
            <w:tcW w:w="222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计费额×4.5%</w:t>
            </w:r>
          </w:p>
        </w:tc>
      </w:tr>
      <w:tr w:rsidR="00546BFE" w:rsidRPr="00546BFE" w:rsidTr="00546BFE">
        <w:trPr>
          <w:trHeight w:val="390"/>
        </w:trPr>
        <w:tc>
          <w:tcPr>
            <w:tcW w:w="96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10</w:t>
            </w:r>
          </w:p>
        </w:tc>
        <w:tc>
          <w:tcPr>
            <w:tcW w:w="34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地（水）源热泵设计</w:t>
            </w:r>
          </w:p>
        </w:tc>
        <w:tc>
          <w:tcPr>
            <w:tcW w:w="512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以地（水）源热泵工程的建筑安装费用为计费额</w:t>
            </w:r>
          </w:p>
        </w:tc>
        <w:tc>
          <w:tcPr>
            <w:tcW w:w="222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546BFE" w:rsidRPr="00546BFE" w:rsidRDefault="00546BFE" w:rsidP="00546BFE">
            <w:pPr>
              <w:widowControl/>
              <w:wordWrap w:val="0"/>
              <w:jc w:val="left"/>
              <w:rPr>
                <w:rFonts w:ascii="宋体" w:eastAsia="宋体" w:hAnsi="宋体" w:cs="宋体"/>
                <w:kern w:val="0"/>
                <w:sz w:val="24"/>
                <w:szCs w:val="24"/>
              </w:rPr>
            </w:pPr>
            <w:r w:rsidRPr="00546BFE">
              <w:rPr>
                <w:rFonts w:ascii="宋体" w:eastAsia="宋体" w:hAnsi="宋体" w:cs="宋体" w:hint="eastAsia"/>
                <w:kern w:val="0"/>
                <w:szCs w:val="21"/>
              </w:rPr>
              <w:t>计费额×4%</w:t>
            </w:r>
          </w:p>
        </w:tc>
      </w:tr>
    </w:tbl>
    <w:p w:rsidR="00546BFE" w:rsidRPr="00546BFE" w:rsidRDefault="00546BFE" w:rsidP="00546BFE">
      <w:pPr>
        <w:widowControl/>
        <w:spacing w:line="349" w:lineRule="atLeast"/>
        <w:jc w:val="left"/>
        <w:rPr>
          <w:rFonts w:ascii="微软雅黑" w:eastAsia="微软雅黑" w:hAnsi="微软雅黑" w:cs="宋体" w:hint="eastAsia"/>
          <w:color w:val="3E3E3E"/>
          <w:kern w:val="0"/>
          <w:sz w:val="24"/>
          <w:szCs w:val="24"/>
        </w:rPr>
      </w:pPr>
      <w:r w:rsidRPr="00546BFE">
        <w:rPr>
          <w:rFonts w:ascii="宋体" w:eastAsia="宋体" w:hAnsi="宋体" w:cs="宋体" w:hint="eastAsia"/>
          <w:color w:val="3E3E3E"/>
          <w:kern w:val="0"/>
          <w:sz w:val="18"/>
          <w:szCs w:val="18"/>
        </w:rPr>
        <w:t>注：特殊声学设计，当特殊声学装修工程的建筑安装费用不能清晰界定时，可作为“声学技术咨询”按附表五《工程咨询服务工日费用表》计费。</w:t>
      </w:r>
    </w:p>
    <w:p w:rsidR="00546BFE" w:rsidRPr="00546BFE" w:rsidRDefault="00546BFE" w:rsidP="00546BFE">
      <w:pPr>
        <w:widowControl/>
        <w:shd w:val="clear" w:color="auto" w:fill="FFFFFF"/>
        <w:spacing w:line="349" w:lineRule="atLeast"/>
        <w:jc w:val="left"/>
        <w:rPr>
          <w:rFonts w:ascii="微软雅黑" w:eastAsia="微软雅黑" w:hAnsi="微软雅黑" w:cs="宋体" w:hint="eastAsia"/>
          <w:color w:val="3E3E3E"/>
          <w:kern w:val="0"/>
          <w:sz w:val="24"/>
          <w:szCs w:val="24"/>
        </w:rPr>
      </w:pPr>
    </w:p>
    <w:p w:rsidR="00546BFE" w:rsidRPr="00546BFE" w:rsidRDefault="00546BFE" w:rsidP="00546BFE">
      <w:pPr>
        <w:widowControl/>
        <w:shd w:val="clear" w:color="auto" w:fill="FFFFFF"/>
        <w:spacing w:line="349" w:lineRule="atLeast"/>
        <w:ind w:right="840" w:firstLineChars="4000" w:firstLine="8400"/>
        <w:rPr>
          <w:rFonts w:ascii="微软雅黑" w:eastAsia="微软雅黑" w:hAnsi="微软雅黑" w:cs="宋体" w:hint="eastAsia"/>
          <w:color w:val="3E3E3E"/>
          <w:kern w:val="0"/>
          <w:sz w:val="24"/>
          <w:szCs w:val="24"/>
        </w:rPr>
      </w:pPr>
      <w:r w:rsidRPr="00546BFE">
        <w:rPr>
          <w:rFonts w:ascii="微软雅黑" w:eastAsia="微软雅黑" w:hAnsi="微软雅黑" w:cs="宋体" w:hint="eastAsia"/>
          <w:color w:val="3E3E3E"/>
          <w:kern w:val="0"/>
          <w:szCs w:val="21"/>
        </w:rPr>
        <w:t>来源：中国勘察设计协会</w:t>
      </w:r>
    </w:p>
    <w:p w:rsidR="0068274F" w:rsidRPr="00546BFE" w:rsidRDefault="0068274F">
      <w:pPr>
        <w:rPr>
          <w:rFonts w:hint="eastAsia"/>
        </w:rPr>
      </w:pPr>
    </w:p>
    <w:sectPr w:rsidR="0068274F" w:rsidRPr="00546BFE" w:rsidSect="00546BF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FE"/>
    <w:rsid w:val="00546BFE"/>
    <w:rsid w:val="0068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46B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46BFE"/>
    <w:rPr>
      <w:rFonts w:ascii="宋体" w:eastAsia="宋体" w:hAnsi="宋体" w:cs="宋体"/>
      <w:b/>
      <w:bCs/>
      <w:kern w:val="0"/>
      <w:sz w:val="36"/>
      <w:szCs w:val="36"/>
    </w:rPr>
  </w:style>
  <w:style w:type="character" w:styleId="a3">
    <w:name w:val="Emphasis"/>
    <w:basedOn w:val="a0"/>
    <w:uiPriority w:val="20"/>
    <w:qFormat/>
    <w:rsid w:val="00546BFE"/>
    <w:rPr>
      <w:i/>
      <w:iCs/>
    </w:rPr>
  </w:style>
  <w:style w:type="character" w:customStyle="1" w:styleId="apple-converted-space">
    <w:name w:val="apple-converted-space"/>
    <w:basedOn w:val="a0"/>
    <w:rsid w:val="00546BFE"/>
  </w:style>
  <w:style w:type="character" w:customStyle="1" w:styleId="richmediameta">
    <w:name w:val="rich_media_meta"/>
    <w:basedOn w:val="a0"/>
    <w:rsid w:val="00546BFE"/>
  </w:style>
  <w:style w:type="paragraph" w:styleId="a4">
    <w:name w:val="Normal (Web)"/>
    <w:basedOn w:val="a"/>
    <w:uiPriority w:val="99"/>
    <w:unhideWhenUsed/>
    <w:rsid w:val="00546BF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46BFE"/>
    <w:rPr>
      <w:b/>
      <w:bCs/>
    </w:rPr>
  </w:style>
  <w:style w:type="paragraph" w:styleId="a6">
    <w:name w:val="Balloon Text"/>
    <w:basedOn w:val="a"/>
    <w:link w:val="Char"/>
    <w:uiPriority w:val="99"/>
    <w:semiHidden/>
    <w:unhideWhenUsed/>
    <w:rsid w:val="00546BFE"/>
    <w:rPr>
      <w:sz w:val="18"/>
      <w:szCs w:val="18"/>
    </w:rPr>
  </w:style>
  <w:style w:type="character" w:customStyle="1" w:styleId="Char">
    <w:name w:val="批注框文本 Char"/>
    <w:basedOn w:val="a0"/>
    <w:link w:val="a6"/>
    <w:uiPriority w:val="99"/>
    <w:semiHidden/>
    <w:rsid w:val="00546B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46B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46BFE"/>
    <w:rPr>
      <w:rFonts w:ascii="宋体" w:eastAsia="宋体" w:hAnsi="宋体" w:cs="宋体"/>
      <w:b/>
      <w:bCs/>
      <w:kern w:val="0"/>
      <w:sz w:val="36"/>
      <w:szCs w:val="36"/>
    </w:rPr>
  </w:style>
  <w:style w:type="character" w:styleId="a3">
    <w:name w:val="Emphasis"/>
    <w:basedOn w:val="a0"/>
    <w:uiPriority w:val="20"/>
    <w:qFormat/>
    <w:rsid w:val="00546BFE"/>
    <w:rPr>
      <w:i/>
      <w:iCs/>
    </w:rPr>
  </w:style>
  <w:style w:type="character" w:customStyle="1" w:styleId="apple-converted-space">
    <w:name w:val="apple-converted-space"/>
    <w:basedOn w:val="a0"/>
    <w:rsid w:val="00546BFE"/>
  </w:style>
  <w:style w:type="character" w:customStyle="1" w:styleId="richmediameta">
    <w:name w:val="rich_media_meta"/>
    <w:basedOn w:val="a0"/>
    <w:rsid w:val="00546BFE"/>
  </w:style>
  <w:style w:type="paragraph" w:styleId="a4">
    <w:name w:val="Normal (Web)"/>
    <w:basedOn w:val="a"/>
    <w:uiPriority w:val="99"/>
    <w:unhideWhenUsed/>
    <w:rsid w:val="00546BF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46BFE"/>
    <w:rPr>
      <w:b/>
      <w:bCs/>
    </w:rPr>
  </w:style>
  <w:style w:type="paragraph" w:styleId="a6">
    <w:name w:val="Balloon Text"/>
    <w:basedOn w:val="a"/>
    <w:link w:val="Char"/>
    <w:uiPriority w:val="99"/>
    <w:semiHidden/>
    <w:unhideWhenUsed/>
    <w:rsid w:val="00546BFE"/>
    <w:rPr>
      <w:sz w:val="18"/>
      <w:szCs w:val="18"/>
    </w:rPr>
  </w:style>
  <w:style w:type="character" w:customStyle="1" w:styleId="Char">
    <w:name w:val="批注框文本 Char"/>
    <w:basedOn w:val="a0"/>
    <w:link w:val="a6"/>
    <w:uiPriority w:val="99"/>
    <w:semiHidden/>
    <w:rsid w:val="00546B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6001">
      <w:bodyDiv w:val="1"/>
      <w:marLeft w:val="0"/>
      <w:marRight w:val="0"/>
      <w:marTop w:val="0"/>
      <w:marBottom w:val="0"/>
      <w:divBdr>
        <w:top w:val="none" w:sz="0" w:space="0" w:color="auto"/>
        <w:left w:val="none" w:sz="0" w:space="0" w:color="auto"/>
        <w:bottom w:val="none" w:sz="0" w:space="0" w:color="auto"/>
        <w:right w:val="none" w:sz="0" w:space="0" w:color="auto"/>
      </w:divBdr>
      <w:divsChild>
        <w:div w:id="1145590784">
          <w:marLeft w:val="0"/>
          <w:marRight w:val="0"/>
          <w:marTop w:val="0"/>
          <w:marBottom w:val="270"/>
          <w:divBdr>
            <w:top w:val="none" w:sz="0" w:space="0" w:color="auto"/>
            <w:left w:val="none" w:sz="0" w:space="0" w:color="auto"/>
            <w:bottom w:val="none" w:sz="0" w:space="0" w:color="auto"/>
            <w:right w:val="none" w:sz="0" w:space="0" w:color="auto"/>
          </w:divBdr>
        </w:div>
        <w:div w:id="877931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953</Words>
  <Characters>5433</Characters>
  <Application>Microsoft Office Word</Application>
  <DocSecurity>0</DocSecurity>
  <Lines>45</Lines>
  <Paragraphs>12</Paragraphs>
  <ScaleCrop>false</ScaleCrop>
  <Company>Microsoft</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2016-12-01T07:09:00Z</dcterms:created>
  <dcterms:modified xsi:type="dcterms:W3CDTF">2016-12-01T07:18:00Z</dcterms:modified>
</cp:coreProperties>
</file>